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02026_080929.xml.htm"/>
      <w:bookmarkStart w:id="1" w:name="ksform309102026_08092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Prout Samantha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CARNEGIE CENTER,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Accounting and Controller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9102026_080930.htm"/>
      <w:bookmarkStart w:id="3" w:name="ksex2409102026_080930"/>
      <w:bookmarkStart w:id="4" w:name="ex24-09102026_080930.htm"/>
      <w:bookmarkStart w:id="5" w:name="ksex2409102026_080930"/>
      <w:bookmarkEnd w:id="4"/>
      <w:bookmarkEnd w:id="5"/>
      <w:r>
        <w:br w:type="page"/>
      </w:r>
    </w:p>
    <w:p>
      <w:pPr>
        <w:pStyle w:val="TextBody"/>
        <w:bidi w:val="0"/>
        <w:spacing w:before="0" w:after="240"/>
        <w:jc w:val="center"/>
        <w:rPr>
          <w:b/>
          <w:sz w:val="24"/>
        </w:rPr>
      </w:pPr>
      <w:r>
        <w:rPr>
          <w:b/>
          <w:sz w:val="24"/>
        </w:rPr>
        <w:t>September 8, 2026</w:t>
      </w:r>
    </w:p>
    <w:p>
      <w:pPr>
        <w:pStyle w:val="TextBody"/>
        <w:bidi w:val="0"/>
        <w:spacing w:before="0" w:after="240"/>
        <w:jc w:val="center"/>
        <w:rPr>
          <w:b/>
          <w:sz w:val="24"/>
        </w:rPr>
      </w:pPr>
      <w:r>
        <w:rPr>
          <w:b/>
          <w:sz w:val="24"/>
        </w:rPr>
        <w:t>POWER OF ATTORNEY</w:t>
      </w:r>
    </w:p>
    <w:p>
      <w:pPr>
        <w:pStyle w:val="TextBody"/>
        <w:bidi w:val="0"/>
        <w:spacing w:before="0" w:after="240"/>
        <w:ind w:left="0" w:right="0" w:firstLine="720"/>
        <w:jc w:val="both"/>
        <w:rPr>
          <w:sz w:val="24"/>
        </w:rPr>
      </w:pPr>
      <w:r>
        <w:rPr>
          <w:sz w:val="24"/>
        </w:rPr>
        <w:t>KNOW ALL BY THESE PRESENTS, that the undersigned hereby constitutes and appoints each of Michael A. Brown and Debbie Reyes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(iii) prepare, execute, acknowledge, deliver and file a Form ID (including any amendments or authentications thereto) with respect to obtaining EDGAR codes, with the SEC, including the authority to act as the applicant's account administrator(s) and manage the applicant's EDGAR account; and (iv)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sz w:val="24"/>
        </w:rPr>
      </w:pPr>
      <w:r>
        <w:rPr>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240"/>
        <w:ind w:left="0" w:right="0" w:firstLine="720"/>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pStyle w:val="TextBody"/>
        <w:bidi w:val="0"/>
        <w:spacing w:before="0" w:after="240"/>
        <w:jc w:val="both"/>
        <w:rPr/>
      </w:pPr>
      <w:r>
        <w:rPr/>
      </w:r>
    </w:p>
    <w:p>
      <w:pPr>
        <w:pStyle w:val="TextBody"/>
        <w:bidi w:val="0"/>
        <w:spacing w:before="0" w:after="0"/>
        <w:ind w:left="0" w:right="0" w:hanging="0"/>
        <w:jc w:val="left"/>
        <w:rPr/>
      </w:pPr>
      <w:r>
        <w:rPr/>
      </w:r>
    </w:p>
    <w:p>
      <w:pPr>
        <w:pStyle w:val="TextBody"/>
        <w:bidi w:val="0"/>
        <w:spacing w:before="0" w:after="240"/>
        <w:jc w:val="both"/>
        <w:rPr/>
      </w:pPr>
      <w:r>
        <w:rPr/>
      </w:r>
    </w:p>
    <w:tbl>
      <w:tblPr>
        <w:tblW w:w="5000" w:type="pct"/>
        <w:jc w:val="center"/>
        <w:tblInd w:w="0" w:type="dxa"/>
        <w:tblLayout w:type="fixed"/>
        <w:tblCellMar>
          <w:top w:w="0" w:type="dxa"/>
          <w:left w:w="0" w:type="dxa"/>
          <w:bottom w:w="0" w:type="dxa"/>
          <w:right w:w="0" w:type="dxa"/>
        </w:tblCellMar>
      </w:tblPr>
      <w:tblGrid>
        <w:gridCol w:w="4675"/>
        <w:gridCol w:w="864"/>
        <w:gridCol w:w="4666"/>
      </w:tblGrid>
      <w:tr>
        <w:trPr/>
        <w:tc>
          <w:tcPr>
            <w:tcW w:w="467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4675" w:type="dxa"/>
            <w:tcBorders/>
          </w:tcPr>
          <w:p>
            <w:pPr>
              <w:pStyle w:val="TableContents"/>
              <w:bidi w:val="0"/>
              <w:spacing w:before="0" w:after="0"/>
              <w:ind w:left="0" w:right="0" w:hanging="0"/>
              <w:jc w:val="left"/>
              <w:rPr/>
            </w:pPr>
            <w:r>
              <w:rPr/>
            </w:r>
          </w:p>
        </w:tc>
        <w:tc>
          <w:tcPr>
            <w:tcW w:w="864" w:type="dxa"/>
            <w:tcBorders/>
          </w:tcPr>
          <w:p>
            <w:pPr>
              <w:pStyle w:val="TableContents"/>
              <w:bidi w:val="0"/>
              <w:spacing w:before="0" w:after="0"/>
              <w:ind w:left="0" w:right="0" w:hanging="0"/>
              <w:jc w:val="center"/>
              <w:rPr>
                <w:sz w:val="24"/>
              </w:rPr>
            </w:pPr>
            <w:r>
              <w:rPr>
                <w:sz w:val="24"/>
              </w:rPr>
              <w:t>1</w:t>
            </w:r>
          </w:p>
        </w:tc>
        <w:tc>
          <w:tcPr>
            <w:tcW w:w="4666" w:type="dxa"/>
            <w:tcBorders/>
          </w:tcPr>
          <w:p>
            <w:pPr>
              <w:pStyle w:val="TableContents"/>
              <w:bidi w:val="0"/>
              <w:spacing w:before="0" w:after="0"/>
              <w:ind w:left="0" w:right="0" w:hanging="0"/>
              <w:jc w:val="right"/>
              <w:rPr/>
            </w:pPr>
            <w:r>
              <w:rPr/>
            </w:r>
          </w:p>
        </w:tc>
      </w:tr>
    </w:tbl>
    <w:p>
      <w:pPr>
        <w:pStyle w:val="TextBody"/>
        <w:bidi w:val="0"/>
        <w:spacing w:before="60" w:after="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sz w:val="24"/>
        </w:rPr>
      </w:pPr>
      <w:r>
        <w:rPr>
          <w:sz w:val="24"/>
        </w:rPr>
        <w:t>2</w:t>
      </w:r>
    </w:p>
    <w:p>
      <w:pPr>
        <w:pStyle w:val="TextBody"/>
        <w:bidi w:val="0"/>
        <w:spacing w:before="0" w:after="0"/>
        <w:ind w:left="0" w:right="0" w:hanging="0"/>
        <w:jc w:val="left"/>
        <w:rPr/>
      </w:pPr>
      <w:r>
        <w:rPr/>
      </w:r>
    </w:p>
    <w:p>
      <w:pPr>
        <w:pStyle w:val="TextBody"/>
        <w:bidi w:val="0"/>
        <w:spacing w:before="0" w:after="240"/>
        <w:jc w:val="both"/>
        <w:rPr>
          <w:sz w:val="24"/>
        </w:rPr>
      </w:pPr>
      <w:r>
        <w:rPr>
          <w:sz w:val="24"/>
        </w:rPr>
        <w:t>IN WITNESS WHEREOF, the undersigned have caused this Power of Attorney to be executed as of date first written above.</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/s/ Samantha Prout</w:t>
      </w:r>
    </w:p>
    <w:p>
      <w:pPr>
        <w:pStyle w:val="TextBody"/>
        <w:pBdr/>
        <w:bidi w:val="0"/>
        <w:spacing w:before="0" w:after="0"/>
        <w:ind w:left="0" w:right="0" w:hanging="0"/>
        <w:jc w:val="left"/>
        <w:rPr>
          <w:sz w:val="24"/>
        </w:rPr>
      </w:pPr>
      <w:r>
        <w:rPr>
          <w:sz w:val="24"/>
        </w:rPr>
        <w:t>---------------------------------------------         </w:t>
      </w:r>
    </w:p>
    <w:p>
      <w:pPr>
        <w:pStyle w:val="TextBody"/>
        <w:pBdr/>
        <w:bidi w:val="0"/>
        <w:spacing w:before="0" w:after="0"/>
        <w:ind w:left="0" w:right="0" w:hanging="0"/>
        <w:jc w:val="left"/>
        <w:rPr>
          <w:sz w:val="24"/>
        </w:rPr>
      </w:pPr>
      <w:r>
        <w:rPr>
          <w:sz w:val="24"/>
        </w:rPr>
        <w:t>Samantha Prout</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sz w:val="24"/>
        </w:rPr>
      </w:pPr>
      <w:r>
        <w:rPr>
          <w:sz w:val="24"/>
        </w:rPr>
        <w:t>2</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43122" TargetMode="External"/><Relationship Id="rId3" Type="http://schemas.openxmlformats.org/officeDocument/2006/relationships/hyperlink" Target="http://www.sec.gov/cgi-bin/browse-edgar?action=getcompany&amp;CIK=000156768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898</Words>
  <Characters>4865</Characters>
  <CharactersWithSpaces>5716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