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38d1_8k.htm"/>
      <w:bookmarkStart w:id="1" w:name="kstm262493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E_edei--DocumentType_c202609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September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2735"/>
        <w:gridCol w:w="60"/>
        <w:gridCol w:w="2210"/>
        <w:gridCol w:w="60"/>
        <w:gridCol w:w="2780"/>
      </w:tblGrid>
      <w:tr>
        <w:trPr/>
        <w:tc>
          <w:tcPr>
            <w:tcW w:w="2735" w:type="dxa"/>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F_edei--EntityFileNumber_c20260908"/>
            <w:bookmarkEnd w:id="6"/>
            <w:r>
              <w:rPr>
                <w:b/>
                <w:sz w:val="20"/>
              </w:rPr>
              <w:t>001-36002</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3_edei--EntityTaxIdentificationNum"/>
            <w:bookmarkEnd w:id="7"/>
            <w:r>
              <w:rPr>
                <w:b/>
                <w:sz w:val="20"/>
              </w:rPr>
              <w:t>46-1777204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902 Carnegie Center, </w:t>
      </w:r>
      <w:bookmarkStart w:id="9" w:name="xdx_90D_edei--EntityAddressAddressLine2_"/>
      <w:bookmarkEnd w:id="9"/>
      <w:r>
        <w:rPr>
          <w:rFonts w:ascii="Times New Roman;Times;Serif" w:hAnsi="Times New Roman;Times;Serif"/>
          <w:b/>
          <w:i w:val="false"/>
          <w:caps w:val="false"/>
          <w:smallCaps w:val="false"/>
          <w:sz w:val="20"/>
        </w:rPr>
        <w:t xml:space="preserve">Suite 520, </w:t>
      </w:r>
      <w:bookmarkStart w:id="10" w:name="xdx_90B_edei--EntityAddressCityOrTown_c2"/>
      <w:bookmarkEnd w:id="10"/>
      <w:r>
        <w:rPr>
          <w:rFonts w:ascii="Times New Roman;Times;Serif" w:hAnsi="Times New Roman;Times;Serif"/>
          <w:b/>
          <w:i w:val="false"/>
          <w:caps w:val="false"/>
          <w:smallCaps w:val="false"/>
          <w:sz w:val="20"/>
        </w:rPr>
        <w:t xml:space="preserve">Princeton, </w:t>
      </w:r>
      <w:bookmarkStart w:id="11" w:name="xdx_903_edei--EntityAddressStateOrProvin"/>
      <w:bookmarkEnd w:id="11"/>
      <w:r>
        <w:rPr>
          <w:rFonts w:ascii="Times New Roman;Times;Serif" w:hAnsi="Times New Roman;Times;Serif"/>
          <w:b/>
          <w:i w:val="false"/>
          <w:caps w:val="false"/>
          <w:smallCaps w:val="false"/>
          <w:sz w:val="20"/>
        </w:rPr>
        <w:t xml:space="preserve">New Jersey </w:t>
      </w:r>
      <w:bookmarkStart w:id="12" w:name="xdx_903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A_edei--CityAreaCode_c20260908__20"/>
      <w:bookmarkEnd w:id="13"/>
      <w:r>
        <w:rPr>
          <w:rFonts w:ascii="Times New Roman;Times;Serif" w:hAnsi="Times New Roman;Times;Serif"/>
          <w:b/>
          <w:i w:val="false"/>
          <w:caps w:val="false"/>
          <w:smallCaps w:val="false"/>
          <w:sz w:val="20"/>
        </w:rPr>
        <w:t xml:space="preserve">609) </w:t>
      </w:r>
      <w:bookmarkStart w:id="14" w:name="xdx_907_edei--LocalPhoneNumber_c20260908"/>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3_edei--EntityAddressAddressLine1_"/>
      <w:bookmarkEnd w:id="15"/>
      <w:r>
        <w:rPr>
          <w:rFonts w:ascii="Times New Roman;Times;Serif" w:hAnsi="Times New Roman;Times;Serif"/>
          <w:b/>
          <w:i w:val="false"/>
          <w:caps w:val="false"/>
          <w:smallCaps w:val="false"/>
          <w:sz w:val="20"/>
        </w:rPr>
        <w:t xml:space="preserve">300 Carnegie Center, </w:t>
      </w:r>
      <w:bookmarkStart w:id="16" w:name="xdx_908_edei--EntityAddressAddressLine2_"/>
      <w:bookmarkEnd w:id="16"/>
      <w:r>
        <w:rPr>
          <w:rFonts w:ascii="Times New Roman;Times;Serif" w:hAnsi="Times New Roman;Times;Serif"/>
          <w:b/>
          <w:i w:val="false"/>
          <w:caps w:val="false"/>
          <w:smallCaps w:val="false"/>
          <w:sz w:val="20"/>
        </w:rPr>
        <w:t xml:space="preserve">Suite 300, </w:t>
      </w:r>
      <w:bookmarkStart w:id="17" w:name="xdx_90B_edei--EntityAddressCityOrTown_c2"/>
      <w:bookmarkEnd w:id="17"/>
      <w:r>
        <w:rPr>
          <w:rFonts w:ascii="Times New Roman;Times;Serif" w:hAnsi="Times New Roman;Times;Serif"/>
          <w:b/>
          <w:i w:val="false"/>
          <w:caps w:val="false"/>
          <w:smallCaps w:val="false"/>
          <w:sz w:val="20"/>
        </w:rPr>
        <w:t xml:space="preserve">Princeton, </w:t>
      </w:r>
      <w:bookmarkStart w:id="18" w:name="xdx_90F_edei--EntityAddressStateOrProvin"/>
      <w:bookmarkEnd w:id="18"/>
      <w:r>
        <w:rPr>
          <w:rFonts w:ascii="Times New Roman;Times;Serif" w:hAnsi="Times New Roman;Times;Serif"/>
          <w:b/>
          <w:i w:val="false"/>
          <w:caps w:val="false"/>
          <w:smallCaps w:val="false"/>
          <w:sz w:val="20"/>
        </w:rPr>
        <w:t xml:space="preserve">New Jersey </w:t>
      </w:r>
      <w:bookmarkStart w:id="19" w:name="xdx_90F_edei--EntityAddressPostalZipCode"/>
      <w:bookmarkEnd w:id="19"/>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20" w:name="xdx_902_edei--WrittenCommunications_c202"/>
            <w:bookmarkEnd w:id="20"/>
            <w:r>
              <w:rPr>
                <w:caps w:val="false"/>
                <w:smallCaps w:val="false"/>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21" w:name="xdx_902_edei--SolicitingMaterial_c202609"/>
            <w:bookmarkEnd w:id="21"/>
            <w:r>
              <w:rPr>
                <w:caps w:val="false"/>
                <w:smallCaps w:val="false"/>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22" w:name="xdx_900_edei--PreCommencementTenderOffer"/>
            <w:bookmarkEnd w:id="22"/>
            <w:r>
              <w:rPr>
                <w:caps w:val="false"/>
                <w:smallCaps w:val="false"/>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23" w:name="xdx_905_edei--PreCommencementIssuerTende"/>
            <w:bookmarkEnd w:id="23"/>
            <w:r>
              <w:rPr>
                <w:caps w:val="false"/>
                <w:smallCaps w:val="false"/>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3305"/>
        <w:gridCol w:w="1610"/>
        <w:gridCol w:w="2855"/>
      </w:tblGrid>
      <w:tr>
        <w:trPr/>
        <w:tc>
          <w:tcPr>
            <w:tcW w:w="33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3305" w:type="dxa"/>
            <w:tcBorders/>
            <w:tcMar>
              <w:bottom w:w="0" w:type="dxa"/>
            </w:tcMar>
            <w:vAlign w:val="center"/>
          </w:tcPr>
          <w:p>
            <w:pPr>
              <w:pStyle w:val="TableContents"/>
              <w:bidi w:val="0"/>
              <w:spacing w:before="0" w:after="283"/>
              <w:jc w:val="center"/>
              <w:rPr>
                <w:sz w:val="20"/>
              </w:rPr>
            </w:pPr>
            <w:bookmarkStart w:id="24" w:name="xdx_900_edei--Security12bTitle_c20260908"/>
            <w:bookmarkEnd w:id="24"/>
            <w:r>
              <w:rPr>
                <w:sz w:val="20"/>
              </w:rPr>
              <w:t>Class C Common Stock, par value $0.01</w:t>
            </w:r>
          </w:p>
        </w:tc>
        <w:tc>
          <w:tcPr>
            <w:tcW w:w="1610" w:type="dxa"/>
            <w:tcBorders/>
            <w:tcMar>
              <w:bottom w:w="0" w:type="dxa"/>
            </w:tcMar>
            <w:vAlign w:val="center"/>
          </w:tcPr>
          <w:p>
            <w:pPr>
              <w:pStyle w:val="TableContents"/>
              <w:bidi w:val="0"/>
              <w:spacing w:before="0" w:after="283"/>
              <w:jc w:val="center"/>
              <w:rPr>
                <w:sz w:val="20"/>
              </w:rPr>
            </w:pPr>
            <w:bookmarkStart w:id="25" w:name="xdx_905_edei--TradingSymbol_c20260908__2"/>
            <w:bookmarkEnd w:id="25"/>
            <w:r>
              <w:rPr>
                <w:sz w:val="20"/>
              </w:rPr>
              <w:t>CWEN</w:t>
            </w:r>
          </w:p>
        </w:tc>
        <w:tc>
          <w:tcPr>
            <w:tcW w:w="2855" w:type="dxa"/>
            <w:tcBorders/>
            <w:tcMar>
              <w:bottom w:w="0" w:type="dxa"/>
            </w:tcMar>
            <w:vAlign w:val="center"/>
          </w:tcPr>
          <w:p>
            <w:pPr>
              <w:pStyle w:val="TableContents"/>
              <w:bidi w:val="0"/>
              <w:spacing w:before="0" w:after="283"/>
              <w:jc w:val="center"/>
              <w:rPr>
                <w:sz w:val="20"/>
              </w:rPr>
            </w:pPr>
            <w:bookmarkStart w:id="26" w:name="xdx_903_edei--SecurityExchangeName_c2026"/>
            <w:bookmarkEnd w:id="26"/>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7" w:name="xdx_90E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Transition of Principal Financial Officer; Appointment of Principal Financial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Clearway Energy, Inc. (the “Company”) announced that, effective as of October 1, 2026 (the “Transition Date”), Sarah Rubenstein will transition out of her role as Executive Vice President and Chief Financial Officer of the Company and will assume a new role at Clearway Energy Group LLC (“CEG”) as the Head of the Transformation Office of CEG, focusing on digital and data transformation and integration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Rubenstein’s transition, Steven Ryder, the Executive Vice President and Chief Financial Officer of CEG, was appointed as Chief Financial Officer of the Company, effective as of the Transition Date. Mr. Ryder will succeed Ms. Rubenstein in her role as the principal financial officer of the Company, effective as of the Transition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Ryder, age 58, has served as Executive Vice President and Chief Financial Officer of CEG since September 2018, where he leads many of the enterprise’s finance functions, including corporate finance, risk, financial planning and analysis and capital markets. Prior to CEG, Mr. Ryder was the Chief Financial Officer for Invenergy LLC, a Chicago-based developer, owner and operator of clean energy projects, from March 2006 to August 2018, during which time Mr. Ryder oversaw a broad range of financial and commercial functions and was responsible for numerous corporate and project financing capital raises in North America and Europe. Prior to Invenergy, Mr. Ryder served for more than 15 years in several finance and technical capacities at GE Energy Financial Services, the International Finance Corporation, the U.S. Agency for International Development and AT&amp;T. Mr. Ryder earned a Master’s Degree in Public Affairs from Princeton University and a Bachelor’s Degree of Science in Electrical Engineering, </w:t>
      </w:r>
      <w:r>
        <w:rPr>
          <w:rFonts w:ascii="Times New Roman;Times;Serif" w:hAnsi="Times New Roman;Times;Serif"/>
          <w:b w:val="false"/>
          <w:i/>
          <w:caps w:val="false"/>
          <w:smallCaps w:val="false"/>
          <w:sz w:val="20"/>
        </w:rPr>
        <w:t>magna cum laude</w:t>
      </w:r>
      <w:r>
        <w:rPr>
          <w:rFonts w:ascii="Times New Roman;Times;Serif" w:hAnsi="Times New Roman;Times;Serif"/>
          <w:b w:val="false"/>
          <w:i w:val="false"/>
          <w:caps w:val="false"/>
          <w:smallCaps w:val="false"/>
          <w:sz w:val="20"/>
        </w:rPr>
        <w:t>, from Tufts University. Mr. Ryder currently serves on the Board of Directors for ACORE. He also earned the designation of a Chartered Financial Analyst (CFA).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CEG owned approximately 54.88% of the combined voting power of the Company’s common stock. Information about the Company’s material related party transactions with CEG required to be disclosed pursuant to Item 404(a) of Regulation S-K can be found in, and is incorporated into this Item 5.02 by reference to, Note 15 to the consolidated financial statements included in the Company’s Annual Report on Form 10-K filed with the Securities and Exchange Commission (the “SEC”) on February 24,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Principal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8, 2026, the Company appointed Samantha Prout as Senior Vice President, Accounting and Controller. In this role, Ms. Prout will succeed Ms. Rubenstein as the principal accounting officer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Prout, age 48, most recently served as Chief Accounting Officer and Controller at Amicus Therapeutics (Nasdaq: FOLD), a publicly traded biopharmaceutical company, where she also served as principal accounting officer and oversaw financial reporting, Sarbanes-Oxley Act compliance, audit committee engagement, enterprise resource planning implementation and continuous improvement initiatives. Prior to joining Amicus in March 2018, Ms. Prout held accounting leadership roles at NRG Energy, Inc., the Company’s prior controlling shareholder, from 2015 to 2018, where she developed deep familiarity with the financial reporting and accounting functions of a major public energy company, and the Company. She began her career at KPMG LLP, where she spent over 15 years building extensive audit and advisory expertise, including significant experience with SEC reporting and capital markets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appointment as Senior Vice President, Accounting and Controller, Ms. Prout will receive a one-time cash sign-on bonus in the amount of $50,000, less applicable payroll deductions and withholdings, payable within 30 days of the commencement of her employment.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Prout does not have any direct or indirect material interest in any transaction that would be required to be disclosed pursuant to Item 404(a) of Regulation 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b/>
                <w:shd w:fill="FFFFFF" w:val="clear"/>
              </w:rPr>
            </w:pPr>
            <w:r>
              <w:rPr>
                <w:b/>
                <w:shd w:fill="FFFFFF" w:val="clear"/>
              </w:rPr>
              <w:t>Item 7.01</w:t>
            </w:r>
          </w:p>
        </w:tc>
        <w:tc>
          <w:tcPr>
            <w:tcW w:w="2705" w:type="dxa"/>
            <w:tcBorders/>
            <w:vAlign w:val="center"/>
          </w:tcPr>
          <w:p>
            <w:pPr>
              <w:pStyle w:val="TableContents"/>
              <w:bidi w:val="0"/>
              <w:spacing w:before="0" w:after="283"/>
              <w:jc w:val="left"/>
              <w:rPr>
                <w:b/>
                <w:shd w:fill="FFFFFF" w:val="clear"/>
              </w:rPr>
            </w:pPr>
            <w:r>
              <w:rPr>
                <w:b/>
                <w:shd w:fill="FFFFFF" w:val="clear"/>
              </w:rPr>
              <w:t>Regulation FD Disclosure.</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On September 8, 2026, the Company issued a press release announcing the leadership transitions described in Item 5.02 of this Current Report on Form 8-K. A copy of the press release is attached as Exhibit 99.1 to this Current Report on Form 8-K and incorporated herein by reference.</w:t>
      </w:r>
    </w:p>
    <w:p>
      <w:pPr>
        <w:pStyle w:val="TextBody"/>
        <w:shd w:fill="FFFFFF" w:val="clear"/>
        <w:bidi w:val="0"/>
        <w:spacing w:before="0" w:after="0"/>
        <w:ind w:left="0" w:right="0" w:firstLine="72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accordance with General Instruction B.2 of Form 8-K, the information set forth in this Item 7.01, including Exhibit 99.1, is deemed to be “furnished” and shall not be deemed to be “filed” for the purposes of Section 18 of the Securities Exchange Act of 1934 (the “Exchange Act”), as amended, and will not be incorporated by reference into any filing under the Securities Act of 1933, as amended, or the Exchange Act, unless specifically identified therein as being incorporated therein by reference.</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70" w:right="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spacing w:before="0" w:after="0"/>
        <w:ind w:left="270" w:right="0" w:hanging="27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980"/>
        <w:gridCol w:w="60"/>
        <w:gridCol w:w="6485"/>
      </w:tblGrid>
      <w:tr>
        <w:trPr/>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No.</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98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center"/>
              <w:rPr/>
            </w:pPr>
            <w:hyperlink w:anchor="tm262493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tm2624938d1_ex99-1.htm">
              <w:r>
                <w:rPr>
                  <w:rStyle w:val="InternetLink"/>
                  <w:rFonts w:ascii="Times New Roman;Times;Serif" w:hAnsi="Times New Roman;Times;Serif"/>
                  <w:sz w:val="20"/>
                </w:rPr>
                <w:t>Press Release, dated September 8, 2026</w:t>
              </w:r>
            </w:hyperlink>
          </w:p>
        </w:tc>
      </w:tr>
      <w:tr>
        <w:trPr/>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320"/>
        <w:gridCol w:w="5210"/>
      </w:tblGrid>
      <w:tr>
        <w:trPr/>
        <w:tc>
          <w:tcPr>
            <w:tcW w:w="75" w:type="dxa"/>
            <w:tcBorders/>
            <w:vAlign w:val="center"/>
          </w:tcPr>
          <w:p>
            <w:pPr>
              <w:pStyle w:val="TableContents"/>
              <w:bidi w:val="0"/>
              <w:spacing w:before="0" w:after="283"/>
              <w:jc w:val="left"/>
              <w:rPr/>
            </w:pPr>
            <w:r>
              <w:rPr/>
              <w:t> </w:t>
            </w:r>
          </w:p>
        </w:tc>
        <w:tc>
          <w:tcPr>
            <w:tcW w:w="55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Clearway Energy,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A. Brown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A. Brown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8" w:name="tm2624938d1_ex99-1.htm"/>
      <w:bookmarkStart w:id="29" w:name="kstm2624938d1_ex991"/>
      <w:bookmarkEnd w:id="28"/>
      <w:bookmarkEnd w:id="29"/>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7146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4625" cy="3619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 Announces Senior Leadership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PRINCETON, N.J., September 8, 2026 </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Clearway Energy, Inc. (NYSE: CWEN) (“Company”, “Clearway”) today announced a series of senior leadership appointments: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Sarah Rubenstein, </w:t>
            </w:r>
            <w:r>
              <w:rPr>
                <w:rFonts w:ascii="Times New Roman;Times;Serif" w:hAnsi="Times New Roman;Times;Serif"/>
              </w:rPr>
              <w:t xml:space="preserve">Chief Financial Officer (“CFO”) of Clearway Energy, Inc., will move into a new role at Clearway Energy Group LLC (“Clearway Group”) as the Head of the Transformation Office focusing on digital and data transformation and integration activities, effective October 1, 2026. </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Steven Ryder, </w:t>
            </w:r>
            <w:r>
              <w:rPr>
                <w:rFonts w:ascii="Times New Roman;Times;Serif" w:hAnsi="Times New Roman;Times;Serif"/>
              </w:rPr>
              <w:t>will succeed Ms. Rubenstein as Clearway Energy, Inc.’s CFO effective October 1, 2026, and will maintain his role as CFO of Clearway Group;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Samantha Prout, </w:t>
            </w:r>
            <w:r>
              <w:rPr>
                <w:rFonts w:ascii="Times New Roman;Times;Serif" w:hAnsi="Times New Roman;Times;Serif"/>
              </w:rPr>
              <w:t>will join the Company as Senior Vice President, Accounting and Controller, effective immediately.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Sarah's leadership has been integral to building the strong financial foundation Clearway stands on today, and I am excited to see her bring that same expertise to leading our Transformation Office. We see opportunities to accelerate operational efficiencies by deploying the kind of automation and AI technologies that our generation assets are powering. Sarah’s transition to this role is an expression of our confidence in the potential enhancements these technologies will provide to our business. Further, our public investors know Steve well, and he is ideally positioned to build on Sarah's success in his expanded CFO role. He brings close to 30 years of professional finance experience, with most of that spent with energy companies focused on renewables and conventional power. Lastly, I'm excited to further strengthen our accounting team with the addition of Samantha, a proven accounting leader with decades of experience in public accounting. These changes, collectively, position our company very well to continue delivering on the long-term growth trajectory for CWEN,” said Craig Cornelius, Chief Executive Officer of 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Sarah Rubenstein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 this new role, I am excited to help translate our business strategy and leadership priorities into exciting new programs that improve efficiency and scalability across our organization. Building upon the work we did to modernize and streamline our integrated enterprise business applications, I am looking forward to continuing the work to transform how we support our data-driven operations through further use of AI and automation, and to continue to incorporate these initiatives into the fabric of our organization,” said Sarah Rubenstein, Chief Financial Officer of 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Ryder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I’m both excited and honored to assume this expansion of my role, and I intend to continue the impressive legacy of financial discipline and stewardship that Sarah has brought to the position. The Clearway enterprise has a talented group of professionals that support both Clearway Energy, Inc. and Clearway Group, and I look forward to continuing my work with Craig and our executive team to advance our enterprise as a leader in the development, ownership, and operation of clean energy infrastructure, sustaining and creating value for CWEN shareholders,” said Steve Ryder, Chief Financial Officer, Clearway Energy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CFO of Clearway Group, Mr. Ryder has spent the last eight years leading many of the enterprise’s finance functions, including corporate finance, risk, financial planning and analysis, and capital markets. Prior to Clearway, Mr. Ryder was the Chief Financial Officer for Invenergy LLC, a Chicago-based developer, owner, and operator of clean energy projects where he oversaw a broad range of financial and commercial functions and was responsible for numerous corporate and project financing capital raises in North America and Europe. Prior to Invenergy, Mr. Ryder served in several finance and technical capacities at GE Energy Financial Services, the International Finance Corporation, the U.S. Agency for International Development, and AT&amp;T.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Samantha Prout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Prout most recently served as Chief Accounting Officer and Controller at Amicus Therapeutics (Nasdaq: FOLD), a publicly traded biopharmaceutical company, where she also served as principal accounting officer and oversaw financial reporting, SOX compliance, audit committee engagement, enterprise resource planning implementation, and continuous improvement initiatives for the publicly traded biopharmaceutical company since 2018. Prior to Amicus, she held accounting leadership roles at NRG Energy, Inc., the Company’s prior controlling shareholder, from 2015 to 2018, where she developed deep familiarity with the financial reporting and accounting functions of a major public energy company, and the Company. She began her career at KPMG LLP, where she spent 15 years building extensive audit and advisory expertise, including significant experience with SEC reporting and capital markets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Clearway Energy,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 is one of the largest owners of clean energy generation assets in the U.S. Our portfolio comprises approximately 13.9 GW of gross capacity in 27 states, including approximately 11.1 GW of wind, solar and battery energy storage systems and approximately 2.8 GW of flexible dispatchable power generation providing critical grid reliability services. Through our diversified and primarily contracted clean energy portfolio, Clearway Energy endeavors to provide its investors with stable and growing dividend income. Clearway Energy, Inc.’s common stock is traded on the New York Stock Exchange under the symbol CWEN. Clearway Energy, Inc. is sponsored by its controlling investor, Clearway Energy Group LLC. For more information, visit investor.clearwayenergy.com.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with respect to our beliefs, plans, objectives, goals, expectations, anticipations, assumptions, estimates, intentions and future performance and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unforeseen or adverse changes in the capital markets generally or in trading conditions applicable to the Company’s securities; and risks related to the Company’s business,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news release should be considered in connection with information regarding risks and uncertainties that may affect the Company’s future results included in its filings with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In addition, the Company makes available free of charge at </w:t>
      </w:r>
      <w:r>
        <w:rPr>
          <w:rFonts w:ascii="Times New Roman;Times;Serif" w:hAnsi="Times New Roman;Times;Serif"/>
          <w:b w:val="false"/>
          <w:i w:val="false"/>
          <w:caps w:val="false"/>
          <w:smallCaps w:val="false"/>
          <w:sz w:val="20"/>
          <w:u w:val="single"/>
        </w:rPr>
        <w:t>www.clearwayenergy.com</w:t>
      </w:r>
      <w:r>
        <w:rPr>
          <w:rFonts w:ascii="Times New Roman;Times;Serif" w:hAnsi="Times New Roman;Times;Serif"/>
          <w:b w:val="false"/>
          <w:i w:val="false"/>
          <w:caps w:val="false"/>
          <w:smallCaps w:val="false"/>
          <w:sz w:val="20"/>
        </w:rPr>
        <w:t>, copies of materials it files with, or furnishes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3290"/>
        <w:gridCol w:w="2375"/>
      </w:tblGrid>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tc>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tc>
      </w:tr>
      <w:tr>
        <w:trPr/>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Akil Marsh </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Zadie Oleksiw</w:t>
            </w:r>
          </w:p>
        </w:tc>
      </w:tr>
      <w:tr>
        <w:trPr/>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investor.relations@clearwayenergy.com</w:t>
            </w:r>
          </w:p>
        </w:tc>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media@clearwayenergy.com</w:t>
            </w:r>
          </w:p>
        </w:tc>
      </w:tr>
      <w:tr>
        <w:trPr/>
        <w:tc>
          <w:tcPr>
            <w:tcW w:w="3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609-608-1500</w:t>
            </w:r>
          </w:p>
        </w:tc>
        <w:tc>
          <w:tcPr>
            <w:tcW w:w="23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2303</Words>
  <Characters>13236</Characters>
  <CharactersWithSpaces>15547</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