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001-36002</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Clearway Energy,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4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300 Carnegie Center, Suite 300</w:t>
      </w:r>
    </w:p>
    <w:p>
      <w:pPr>
        <w:spacing w:after="0" w:line="6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0000FF"/>
        </w:rPr>
        <w:t>Princeton NEW JERSEY 08540</w:t>
      </w:r>
    </w:p>
    <w:p>
      <w:pPr>
        <w:spacing w:after="0" w:line="63" w:lineRule="exact"/>
        <w:rPr>
          <w:sz w:val="24"/>
          <w:szCs w:val="24"/>
          <w:color w:val="auto"/>
        </w:rPr>
      </w:pPr>
    </w:p>
    <w:tbl>
      <w:tblPr>
        <w:tblLayout w:type="fixed"/>
        <w:tblInd w:w="2540" w:type="dxa"/>
        <w:tblCellMar>
          <w:top w:w="0" w:type="dxa"/>
          <w:left w:w="0" w:type="dxa"/>
          <w:bottom w:w="0" w:type="dxa"/>
          <w:right w:w="0" w:type="dxa"/>
        </w:tblCellMar>
      </w:tblPr>
      <w:tr>
        <w:trPr>
          <w:trHeight w:val="232"/>
        </w:trPr>
        <w:tc>
          <w:tcPr>
            <w:tcW w:w="2720" w:type="dxa"/>
            <w:vAlign w:val="bottom"/>
          </w:tcPr>
          <w:p>
            <w:pPr>
              <w:spacing w:after="0"/>
              <w:rPr>
                <w:sz w:val="20"/>
                <w:szCs w:val="20"/>
                <w:color w:val="auto"/>
              </w:rPr>
            </w:pPr>
            <w:r>
              <w:rPr>
                <w:rFonts w:ascii="Arial" w:cs="Arial" w:eastAsia="Arial" w:hAnsi="Arial"/>
                <w:sz w:val="18"/>
                <w:szCs w:val="18"/>
                <w:color w:val="auto"/>
              </w:rPr>
              <w:t>Telephone number: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609-608-1525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2026-05-01</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Anthony Sozzi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4"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May 12, 2026, pursuant to the provisions of Rule 12d2-2 (a). [ X ] 17 CFR 240.12d2-2(a)(3) That on May 01,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Certificate of Amendment that became effective on May 1, 2026, Each Class A Common Stock will become convertible into one (1) new share of Clearway Energy, Inc. Class C Common Stock. The Exchange also notifies the Securities and Exchange Commission that as a result of the above indicated conditions this security was suspended from trading on May 01, 2026.</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002" TargetMode="External"/><Relationship Id="rId11"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2026-05-01T11:50:29Z</dcterms:created>
  <dcterms:modified xsi:type="dcterms:W3CDTF">2026-05-01T11:50:29Z</dcterms:modified>
</cp:coreProperties>
</file>