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7842" w:type="dxa"/>
        <w:jc w:val="center"/>
        <w:tblInd w:w="0" w:type="dxa"/>
        <w:tblLayout w:type="fixed"/>
        <w:tblCellMar>
          <w:top w:w="28" w:type="dxa"/>
          <w:left w:w="28" w:type="dxa"/>
          <w:bottom w:w="28" w:type="dxa"/>
          <w:right w:w="28" w:type="dxa"/>
        </w:tblCellMar>
      </w:tblPr>
      <w:tblGrid>
        <w:gridCol w:w="124"/>
        <w:gridCol w:w="109"/>
        <w:gridCol w:w="109"/>
        <w:gridCol w:w="1168"/>
        <w:gridCol w:w="1168"/>
        <w:gridCol w:w="1168"/>
        <w:gridCol w:w="1168"/>
        <w:gridCol w:w="1168"/>
        <w:gridCol w:w="1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001-36002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Clearway Energy,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46-1777204</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 Carnegie Center, Suite 300</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(609) 608-1525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9" w:type="dxa"/>
        <w:jc w:val="center"/>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As of July 31, 2026, there were 42,738,750 shares of Class B common stock outstanding, par value $0.01 per share, 121,174,960 shares of Class C common stock outstanding, par value $0.01 per share, and 41,361,142 shares of Class D common stock outstanding, par value $0.01 per share.</w:t>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0">
              <w:r>
                <w:rPr>
                  <w:rStyle w:val="InternetLink"/>
                  <w:rFonts w:ascii="Times New Roman;serif" w:hAnsi="Times New Roman;serif"/>
                  <w:b/>
                  <w:color w:val="0000FF"/>
                  <w:sz w:val="20"/>
                  <w:u w:val="single"/>
                </w:rPr>
                <w:t>CAUTIONARY STATEMENT REGARDING FORWARD LOOKING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0">
              <w:r>
                <w:rPr>
                  <w:rStyle w:val="InternetLink"/>
                  <w:rFonts w:ascii="Times New Roman;serif" w:hAnsi="Times New Roman;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3">
              <w:r>
                <w:rPr>
                  <w:rStyle w:val="InternetLink"/>
                  <w:rFonts w:ascii="Times New Roman;serif" w:hAnsi="Times New Roman;serif"/>
                  <w:b/>
                  <w:color w:val="0000FF"/>
                  <w:sz w:val="20"/>
                  <w:u w:val="single"/>
                </w:rPr>
                <w:t>GLOSSARY OF TERMS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3">
              <w:r>
                <w:rPr>
                  <w:rStyle w:val="InternetLink"/>
                  <w:rFonts w:ascii="Times New Roman;serif" w:hAnsi="Times New Roman;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6">
              <w:r>
                <w:rPr>
                  <w:rStyle w:val="InternetLink"/>
                  <w:rFonts w:ascii="Times New Roman;serif" w:hAnsi="Times New Roman;serif"/>
                  <w:b/>
                  <w:color w:val="0000FF"/>
                  <w:sz w:val="20"/>
                  <w:u w:val="single"/>
                </w:rPr>
                <w:t>PART I —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6">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9">
              <w:r>
                <w:rPr>
                  <w:rStyle w:val="InternetLink"/>
                  <w:rFonts w:ascii="Times New Roman;serif" w:hAnsi="Times New Roman;serif"/>
                  <w:b w:val="false"/>
                  <w:color w:val="0000FF"/>
                  <w:sz w:val="20"/>
                  <w:u w:val="single"/>
                </w:rPr>
                <w:t>ITEM 1 — FINANCIAL STATEMENTS AND NOTES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9">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pPr>
            <w:hyperlink w:anchor="i4bdac85329074700ad8b84014dc31a07_118">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18">
              <w:r>
                <w:rPr>
                  <w:rStyle w:val="InternetLink"/>
                  <w:rFonts w:ascii="Times New Roman;serif" w:hAnsi="Times New Roman;serif"/>
                  <w:b w:val="false"/>
                  <w:color w:val="0000FF"/>
                  <w:sz w:val="20"/>
                  <w:u w:val="single"/>
                </w:rPr>
                <w:t>36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60">
              <w:r>
                <w:rPr>
                  <w:rStyle w:val="InternetLink"/>
                  <w:rFonts w:ascii="Times New Roman;serif" w:hAnsi="Times New Roman;serif"/>
                  <w:b w:val="false"/>
                  <w:color w:val="0000FF"/>
                  <w:sz w:val="20"/>
                  <w:u w:val="single"/>
                </w:rPr>
                <w:t>ITEM 3 —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60">
              <w:r>
                <w:rPr>
                  <w:rStyle w:val="InternetLink"/>
                  <w:rFonts w:ascii="Times New Roman;serif" w:hAnsi="Times New Roman;serif"/>
                  <w:b w:val="false"/>
                  <w:color w:val="0000FF"/>
                  <w:sz w:val="20"/>
                  <w:u w:val="single"/>
                </w:rPr>
                <w:t>55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66">
              <w:r>
                <w:rPr>
                  <w:rStyle w:val="InternetLink"/>
                  <w:rFonts w:ascii="Times New Roman;serif" w:hAnsi="Times New Roman;serif"/>
                  <w:b w:val="false"/>
                  <w:color w:val="0000FF"/>
                  <w:sz w:val="20"/>
                  <w:u w:val="single"/>
                </w:rPr>
                <w:t>ITEM 4 —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66">
              <w:r>
                <w:rPr>
                  <w:rStyle w:val="InternetLink"/>
                  <w:rFonts w:ascii="Times New Roman;serif" w:hAnsi="Times New Roman;serif"/>
                  <w:b w:val="false"/>
                  <w:color w:val="0000FF"/>
                  <w:sz w:val="20"/>
                  <w:u w:val="single"/>
                </w:rPr>
                <w:t>56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69">
              <w:r>
                <w:rPr>
                  <w:rStyle w:val="InternetLink"/>
                  <w:rFonts w:ascii="Times New Roman;serif" w:hAnsi="Times New Roman;serif"/>
                  <w:b/>
                  <w:color w:val="0000FF"/>
                  <w:sz w:val="20"/>
                  <w:u w:val="single"/>
                </w:rPr>
                <w:t>PART II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69">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72">
              <w:r>
                <w:rPr>
                  <w:rStyle w:val="InternetLink"/>
                  <w:rFonts w:ascii="Times New Roman;serif" w:hAnsi="Times New Roman;serif"/>
                  <w:b w:val="false"/>
                  <w:color w:val="0000FF"/>
                  <w:sz w:val="20"/>
                  <w:u w:val="single"/>
                </w:rPr>
                <w:t>ITEM 1 —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72">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75">
              <w:r>
                <w:rPr>
                  <w:rStyle w:val="InternetLink"/>
                  <w:rFonts w:ascii="Times New Roman;serif" w:hAnsi="Times New Roman;serif"/>
                  <w:b w:val="false"/>
                  <w:color w:val="0000FF"/>
                  <w:sz w:val="20"/>
                  <w:u w:val="single"/>
                </w:rPr>
                <w:t>ITEM 1A —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75">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78">
              <w:r>
                <w:rPr>
                  <w:rStyle w:val="InternetLink"/>
                  <w:rFonts w:ascii="Times New Roman;serif" w:hAnsi="Times New Roman;serif"/>
                  <w:b w:val="false"/>
                  <w:color w:val="0000FF"/>
                  <w:sz w:val="20"/>
                  <w:u w:val="single"/>
                </w:rPr>
                <w:t>ITEM 2 —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78">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81">
              <w:r>
                <w:rPr>
                  <w:rStyle w:val="InternetLink"/>
                  <w:rFonts w:ascii="Times New Roman;serif" w:hAnsi="Times New Roman;serif"/>
                  <w:b w:val="false"/>
                  <w:color w:val="0000FF"/>
                  <w:sz w:val="20"/>
                  <w:u w:val="single"/>
                </w:rPr>
                <w:t>ITEM 3 — 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81">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84">
              <w:r>
                <w:rPr>
                  <w:rStyle w:val="InternetLink"/>
                  <w:rFonts w:ascii="Times New Roman;serif" w:hAnsi="Times New Roman;serif"/>
                  <w:b w:val="false"/>
                  <w:color w:val="0000FF"/>
                  <w:sz w:val="20"/>
                  <w:u w:val="single"/>
                </w:rPr>
                <w:t>ITEM 4 —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84">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87">
              <w:r>
                <w:rPr>
                  <w:rStyle w:val="InternetLink"/>
                  <w:rFonts w:ascii="Times New Roman;serif" w:hAnsi="Times New Roman;serif"/>
                  <w:b w:val="false"/>
                  <w:color w:val="0000FF"/>
                  <w:sz w:val="20"/>
                  <w:u w:val="single"/>
                </w:rPr>
                <w:t>ITEM 5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87">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90">
              <w:r>
                <w:rPr>
                  <w:rStyle w:val="InternetLink"/>
                  <w:rFonts w:ascii="Times New Roman;serif" w:hAnsi="Times New Roman;serif"/>
                  <w:b w:val="false"/>
                  <w:color w:val="0000FF"/>
                  <w:sz w:val="20"/>
                  <w:u w:val="single"/>
                </w:rPr>
                <w:t>ITEM 6 —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90">
              <w:r>
                <w:rPr>
                  <w:rStyle w:val="InternetLink"/>
                  <w:rFonts w:ascii="Times New Roman;serif" w:hAnsi="Times New Roman;serif"/>
                  <w:b w:val="false"/>
                  <w:color w:val="0000FF"/>
                  <w:sz w:val="20"/>
                  <w:u w:val="single"/>
                </w:rPr>
                <w:t>58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ac85329074700ad8b84014dc31a07_196">
              <w:r>
                <w:rPr>
                  <w:rStyle w:val="InternetLink"/>
                  <w:rFonts w:ascii="Times New Roman;serif" w:hAnsi="Times New Roman;serif"/>
                  <w:b/>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ac85329074700ad8b84014dc31a07_196">
              <w:r>
                <w:rPr>
                  <w:rStyle w:val="InternetLink"/>
                  <w:rFonts w:ascii="Times New Roman;serif" w:hAnsi="Times New Roman;serif"/>
                  <w:b w:val="false"/>
                  <w:color w:val="0000FF"/>
                  <w:sz w:val="20"/>
                  <w:u w:val="single"/>
                </w:rPr>
                <w:t>59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erif" w:hAnsi="Times New Roman;serif"/>
          <w:b w:val="false"/>
          <w:color w:val="000000"/>
          <w:sz w:val="20"/>
        </w:rPr>
        <w:t>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of the Company’s Annual Report on Form 10-K for the year ended December 31, 2025, as well as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maintain and grow its quarterly dividend;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successfully identify, evaluate and consummate investment opportunities, as well as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97"/>
        <w:gridCol w:w="335"/>
        <w:gridCol w:w="272"/>
        <w:gridCol w:w="3144"/>
        <w:gridCol w:w="2795"/>
        <w:gridCol w:w="2804"/>
        <w:gridCol w:w="158"/>
      </w:tblGrid>
      <w:tr>
        <w:trPr/>
        <w:tc>
          <w:tcPr>
            <w:tcW w:w="69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Form 10-K</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2025, as filed with the SEC on February 24,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Senior Notes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Senior Notes</w:t>
            </w:r>
          </w:p>
        </w:tc>
        <w:tc>
          <w:tcPr>
            <w:tcW w:w="874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$600 million aggregate principal amount of 5.75% unsecured senior notes due 2034,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74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Program</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BESS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CAFD</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is defined as of June 30, 2026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Portfolio</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610 MW portfolio of operational solar facilities located in eight states that the Company acquired on March 30, 2026, previously referred to as the Deriva Solar Portfolio.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Catalina</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 MW solar facility located in Kern County, California that the Company leases and operates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 Master Services Agreement</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Master Services Agreement and Payroll Sharing Agreement, effective as of January 1, 2025, among the Company, Clearway Energy Finance Inc., Clearway Energy LLC,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Conversion</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conversion of each share of the Company’s Class A common stock into one share of the Company’s Class C common stock, which occurred on May 1,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holding company through which the facilities are owned by Clearway Energy Group LLC, the holder of Class B and Class D units, and the Company, the holder of the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all shares of the Company’s Class B and Class D common stock and Clearway Energy LLC’s Class B and Class D units and, from time to time, possibly shares of the Company’s Class C common stock. Clearway Energy Group LLC is a leading developer of renewable energy, energy storage and power infrastructure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Operating LLC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facilities that are owned by Clearway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Renew</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CVSR </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Solar</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 Down Assets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DSPP</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 Stock Purchase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588"/>
        <w:gridCol w:w="490"/>
        <w:gridCol w:w="455"/>
        <w:gridCol w:w="2983"/>
        <w:gridCol w:w="2762"/>
        <w:gridCol w:w="2770"/>
        <w:gridCol w:w="157"/>
      </w:tblGrid>
      <w:tr>
        <w:trPr/>
        <w:tc>
          <w:tcPr>
            <w:tcW w:w="5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ERCOT</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Electric Reliability Council of Texas, the ISO and the regional reliability coordinator of the various electricity systems within Texas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GenConn</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GenConn Energy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Gigawatt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HLBV</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Hypothetical Liquidation at Book Value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Portfolio</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 BESS facilities under construction in Beaver County and Iron County, Utah, collectively representing 320 MW of capacity, which includes Enterprise, Escalante I, Granite Mountain East and Iron Springs that are co-located with the respective solar facilities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TargetCo</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Honeycomb TargetCo LLC, the indirect owner of the Honeycomb Portfolio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Internal Revenue Service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Independent System Operator, also referred to as an RTO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ITC</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Tax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British Thermal Units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Megawatt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Saleable megawatt hours, net of internal/parasitic load megawatt-hours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Exposure</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to Clearway Energy, Inc., net of collateral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NOLs</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OCI/OCL</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O&amp;M</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Palisade Plains Partnership</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Palisade Plains Development Partnership LLC, the indirect owner of Goat Mountain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PG&amp;E</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Pacific Gas and Electric Company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TE Class A</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TE Class A Owner LLC, a consolidated subsidiary of Clearway Energy Finance Inc. and an indirect subsidiary of the Company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Purchase Agreement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PTC</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Production Tax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RENOM</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Renewable Operation &amp; Maintenance LLC, a wholly-owned subsidiary of CEG</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Regional Transmission Organization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Southern California Edison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SDG&amp;E</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San Diego Gas &amp; Electric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the 2028 Senior Notes, the 2031 Senior Notes, the 2032 Senior Notes and the 2034 Senior Notes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Partners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SREC </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Renewable Energy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Scale Solar</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39"/>
        <w:gridCol w:w="1481"/>
        <w:gridCol w:w="14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03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Attributable to Clearway Energy, Inc. Class A and Class C Common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 - basic and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C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Weighted Average Class A and Class C Common Share - Basic and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A Common Share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0.8696 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C Common Share </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0.9278 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0.8696 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06"/>
        <w:gridCol w:w="1934"/>
        <w:gridCol w:w="1839"/>
        <w:gridCol w:w="234"/>
        <w:gridCol w:w="517"/>
        <w:gridCol w:w="120"/>
        <w:gridCol w:w="120"/>
        <w:gridCol w:w="120"/>
        <w:gridCol w:w="120"/>
        <w:gridCol w:w="234"/>
        <w:gridCol w:w="400"/>
        <w:gridCol w:w="120"/>
        <w:gridCol w:w="109"/>
        <w:gridCol w:w="109"/>
        <w:gridCol w:w="109"/>
        <w:gridCol w:w="220"/>
        <w:gridCol w:w="424"/>
        <w:gridCol w:w="113"/>
        <w:gridCol w:w="113"/>
        <w:gridCol w:w="113"/>
        <w:gridCol w:w="113"/>
        <w:gridCol w:w="220"/>
        <w:gridCol w:w="424"/>
        <w:gridCol w:w="174"/>
      </w:tblGrid>
      <w:tr>
        <w:trPr/>
        <w:tc>
          <w:tcPr>
            <w:tcW w:w="220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 and changes in accumulated OCI/OCL, net of income tax (expense) benefit of $(3), $4, $(4) and $5</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income attributable to noncontrolling interests and redeemable noncontrolling interests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Clearway Energy, Inc.</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315"/>
        <w:gridCol w:w="2225"/>
        <w:gridCol w:w="2244"/>
        <w:gridCol w:w="203"/>
        <w:gridCol w:w="669"/>
        <w:gridCol w:w="112"/>
        <w:gridCol w:w="109"/>
        <w:gridCol w:w="109"/>
        <w:gridCol w:w="109"/>
        <w:gridCol w:w="217"/>
        <w:gridCol w:w="717"/>
        <w:gridCol w:w="176"/>
      </w:tblGrid>
      <w:tr>
        <w:trPr/>
        <w:tc>
          <w:tcPr>
            <w:tcW w:w="331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shares)</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trade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affiliates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Property, plant and equipment, net </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for power purchase agreements,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intangible assets, net </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trade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affiliates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10,000,000 shares authorized; none issued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Class C and Class D common stock, $0.01 par value; 2,500,000,000 shares authorized (Class B 500,000,000, Class C 1,000,000,000, Class D 1,000,000,000); 205,267,917 shares issued and outstanding (Class B 42,738,750, Class C 121,168,025, Class D 41,361,142) at June 30, 2026 and 203,773,674 shares issued and outstanding (Class A 34,613,853, Class B 42,738,750, Class C 84,844,929, Class D 41,576,142) at December 31, 2025</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503" w:type="dxa"/>
        <w:jc w:val="left"/>
        <w:tblInd w:w="0" w:type="dxa"/>
        <w:tblLayout w:type="fixed"/>
        <w:tblCellMar>
          <w:top w:w="28" w:type="dxa"/>
          <w:left w:w="28" w:type="dxa"/>
          <w:bottom w:w="28" w:type="dxa"/>
          <w:right w:w="28" w:type="dxa"/>
        </w:tblCellMar>
      </w:tblPr>
      <w:tblGrid>
        <w:gridCol w:w="2331"/>
        <w:gridCol w:w="2046"/>
        <w:gridCol w:w="2058"/>
        <w:gridCol w:w="224"/>
        <w:gridCol w:w="496"/>
        <w:gridCol w:w="116"/>
        <w:gridCol w:w="116"/>
        <w:gridCol w:w="116"/>
        <w:gridCol w:w="116"/>
        <w:gridCol w:w="224"/>
        <w:gridCol w:w="496"/>
        <w:gridCol w:w="164"/>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Loss </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unconsolidated affiliates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out-of-market contracts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debt extinguishment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amount of right-of-use assets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income taxes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derivative instruments and amortization of accumulated OCI/OCL</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transferable tax credits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Drop Down Assets, net of cash acquired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equipment deposits and asset purchases from affiliate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unconsolidated affiliates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contributions from noncontrolling interests, net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issuance of Class C common stock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and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CEG</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revolving credit facility</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the revolving credit facility</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issuance of long-term debt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w:t>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2"/>
        <w:gridCol w:w="495"/>
        <w:gridCol w:w="485"/>
        <w:gridCol w:w="206"/>
        <w:gridCol w:w="428"/>
        <w:gridCol w:w="115"/>
        <w:gridCol w:w="109"/>
        <w:gridCol w:w="109"/>
        <w:gridCol w:w="109"/>
        <w:gridCol w:w="242"/>
        <w:gridCol w:w="298"/>
        <w:gridCol w:w="136"/>
        <w:gridCol w:w="109"/>
        <w:gridCol w:w="109"/>
        <w:gridCol w:w="109"/>
        <w:gridCol w:w="196"/>
        <w:gridCol w:w="556"/>
        <w:gridCol w:w="109"/>
        <w:gridCol w:w="109"/>
        <w:gridCol w:w="109"/>
        <w:gridCol w:w="109"/>
        <w:gridCol w:w="302"/>
        <w:gridCol w:w="650"/>
        <w:gridCol w:w="168"/>
        <w:gridCol w:w="109"/>
        <w:gridCol w:w="109"/>
        <w:gridCol w:w="109"/>
        <w:gridCol w:w="394"/>
        <w:gridCol w:w="515"/>
        <w:gridCol w:w="221"/>
        <w:gridCol w:w="109"/>
        <w:gridCol w:w="109"/>
        <w:gridCol w:w="109"/>
        <w:gridCol w:w="232"/>
        <w:gridCol w:w="659"/>
        <w:gridCol w:w="130"/>
        <w:gridCol w:w="109"/>
        <w:gridCol w:w="109"/>
        <w:gridCol w:w="109"/>
        <w:gridCol w:w="211"/>
        <w:gridCol w:w="598"/>
        <w:gridCol w:w="175"/>
      </w:tblGrid>
      <w:tr>
        <w:trPr/>
        <w:tc>
          <w:tcPr>
            <w:tcW w:w="7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OCL, net of tax</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Cardinal Portfolio acquisition</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Buyout of noncontrolling interest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Class C common stock</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OCI, net of tax</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94"/>
        <w:gridCol w:w="567"/>
        <w:gridCol w:w="557"/>
        <w:gridCol w:w="211"/>
        <w:gridCol w:w="437"/>
        <w:gridCol w:w="117"/>
        <w:gridCol w:w="109"/>
        <w:gridCol w:w="109"/>
        <w:gridCol w:w="109"/>
        <w:gridCol w:w="249"/>
        <w:gridCol w:w="306"/>
        <w:gridCol w:w="140"/>
        <w:gridCol w:w="109"/>
        <w:gridCol w:w="109"/>
        <w:gridCol w:w="109"/>
        <w:gridCol w:w="196"/>
        <w:gridCol w:w="556"/>
        <w:gridCol w:w="109"/>
        <w:gridCol w:w="109"/>
        <w:gridCol w:w="109"/>
        <w:gridCol w:w="109"/>
        <w:gridCol w:w="222"/>
        <w:gridCol w:w="478"/>
        <w:gridCol w:w="123"/>
        <w:gridCol w:w="109"/>
        <w:gridCol w:w="109"/>
        <w:gridCol w:w="109"/>
        <w:gridCol w:w="354"/>
        <w:gridCol w:w="625"/>
        <w:gridCol w:w="198"/>
        <w:gridCol w:w="109"/>
        <w:gridCol w:w="109"/>
        <w:gridCol w:w="109"/>
        <w:gridCol w:w="232"/>
        <w:gridCol w:w="659"/>
        <w:gridCol w:w="130"/>
        <w:gridCol w:w="109"/>
        <w:gridCol w:w="109"/>
        <w:gridCol w:w="109"/>
        <w:gridCol w:w="211"/>
        <w:gridCol w:w="598"/>
        <w:gridCol w:w="174"/>
      </w:tblGrid>
      <w:tr>
        <w:trPr/>
        <w:tc>
          <w:tcPr>
            <w:tcW w:w="7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 net of tax</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non-cash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OCI, net of tax</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 net of distributions,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 Nature of Business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13.9 GW of gross capacity in 27 states, including approximately 11.1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pPr>
      <w:r>
        <w:rPr>
          <w:rFonts w:ascii="Times New Roman;serif" w:hAnsi="Times New Roman;serif"/>
          <w:b w:val="false"/>
          <w:color w:val="231F20"/>
          <w:sz w:val="20"/>
        </w:rPr>
        <w:t>The Company consolidates the results of Clearway Energy LLC through its controlling interest, with CEG’s interest shown as noncontrolling interest in the consolidated financial statements. The holders of the Company’s outstanding shares of Class C common stock are entitled to dividends as declared. CEG receives its distributions from Clearway Energy LLC through its ownership of Clearway Energy LLC Class B and Class D units.</w:t>
      </w:r>
      <w:r>
        <w:rPr>
          <w:color w:val="000000"/>
        </w:rPr>
        <w:t xml:space="preserve"> </w:t>
      </w:r>
      <w:r>
        <w:rPr>
          <w:rFonts w:ascii="Times New Roman;serif" w:hAnsi="Times New Roman;serif"/>
          <w:b w:val="false"/>
          <w:color w:val="000000"/>
          <w:sz w:val="20"/>
        </w:rPr>
        <w:t>From time to time, CEG may also hold shares of the Company’s Class C common stock.</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owned 59.03% of the economic interests of Clearway Energy LLC, with CEG owning 40.97% of the economic interests of Clearway Energy LLC.</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diagram below represents a summarized structure of the Company as of June 30, 2026:</w:t>
      </w:r>
    </w:p>
    <w:p>
      <w:pPr>
        <w:pStyle w:val="TextBody"/>
        <w:bidi w:val="0"/>
        <w:spacing w:before="0" w:after="60"/>
        <w:jc w:val="left"/>
        <w:rPr/>
      </w:pPr>
      <w:r>
        <w:rPr/>
        <w:drawing>
          <wp:inline distT="0" distB="0" distL="0" distR="0">
            <wp:extent cx="6515100" cy="37528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515100" cy="375285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Class A Conversion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2026, at the Company’s Annual Meeting of Stockholders, the Company’s stockholders approved a Second Amended and Restated Certificate of Incorporation, or the Amended Charter, pursuant to which each outstanding share of the Company’s Class A common stock was converted into one share of the Company’s Class C common stock, effective May 1, 2026, referred to as the Class A Conversion. Accordingly, the Company no longer has any Class A common stock outstanding. See Note 9, </w:t>
      </w:r>
      <w:r>
        <w:rPr>
          <w:rFonts w:ascii="Times New Roman;serif" w:hAnsi="Times New Roman;serif"/>
          <w:b w:val="false"/>
          <w:i/>
          <w:color w:val="000000"/>
          <w:sz w:val="20"/>
        </w:rPr>
        <w:t>Changes in Capital Structure</w:t>
      </w:r>
      <w:r>
        <w:rPr>
          <w:rFonts w:ascii="Times New Roman;serif" w:hAnsi="Times New Roman;serif"/>
          <w:b w:val="false"/>
          <w:color w:val="000000"/>
          <w:sz w:val="20"/>
        </w:rPr>
        <w:t>, for further discussion of the Class A Conversion.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Certain prior period financial information included in these unaudited interim consolidated financial statements has been revised to correct immaterial errors. See Note 13, </w:t>
      </w:r>
      <w:r>
        <w:rPr>
          <w:rFonts w:ascii="Times New Roman;serif" w:hAnsi="Times New Roman;serif"/>
          <w:b w:val="false"/>
          <w:i/>
          <w:color w:val="000000"/>
          <w:sz w:val="20"/>
        </w:rPr>
        <w:t>Revision of Previously Issued Unaudited Financial Information</w:t>
      </w:r>
      <w:r>
        <w:rPr>
          <w:rFonts w:ascii="Times New Roman;serif" w:hAnsi="Times New Roman;serif"/>
          <w:b w:val="false"/>
          <w:color w:val="000000"/>
          <w:sz w:val="20"/>
        </w:rPr>
        <w:t xml:space="preserve">, for additional information.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notes should be read in conjunction with the accounting policies and other disclosures as set forth in the notes to the consolidated financial statements included in the Company’s 2025 Form 10-K. Interim results are not necessarily indicative of results for a full year.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consolidated financial statements contain all material adjustments consisting of normal and recurring accruals necessary for a fair statement of the Company’s consolidated financial position as of June 30, 2026 and December 31, 2025, and results of operations, comprehensive income (loss) and cash flows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highly liquid investments with an original maturity of three months or less at the time of purchase. Cash and cash equivalents held at subsidiary facilities was $247 million and $194 million as of June 30, 2026 and December 31, 2025, respectively.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615"/>
        <w:gridCol w:w="2289"/>
        <w:gridCol w:w="2303"/>
        <w:gridCol w:w="302"/>
        <w:gridCol w:w="669"/>
        <w:gridCol w:w="156"/>
        <w:gridCol w:w="109"/>
        <w:gridCol w:w="109"/>
        <w:gridCol w:w="109"/>
        <w:gridCol w:w="389"/>
        <w:gridCol w:w="863"/>
        <w:gridCol w:w="292"/>
      </w:tblGrid>
      <w:tr>
        <w:trPr/>
        <w:tc>
          <w:tcPr>
            <w:tcW w:w="2615"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consolidated statements of cash flows</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consists primarily of funds held to satisfy the requirements of certain debt agreements and funds held within the Company’s facilities that are restricted in their use. As of June 30, 2026, these restricted funds were comprised of $130 million designated to fund operating expenses, $40 million designated for current debt service payments and $90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accumulated depreciation included in property, plant and equipment, net, and accumulated amortization included in intangible assets for power purchase agreements, net and other intangible assets, net:</w:t>
      </w:r>
    </w:p>
    <w:tbl>
      <w:tblPr>
        <w:tblW w:w="7946" w:type="dxa"/>
        <w:jc w:val="left"/>
        <w:tblInd w:w="0" w:type="dxa"/>
        <w:tblLayout w:type="fixed"/>
        <w:tblCellMar>
          <w:top w:w="28" w:type="dxa"/>
          <w:left w:w="28" w:type="dxa"/>
          <w:bottom w:w="28" w:type="dxa"/>
          <w:right w:w="28" w:type="dxa"/>
        </w:tblCellMar>
      </w:tblPr>
      <w:tblGrid>
        <w:gridCol w:w="1766"/>
        <w:gridCol w:w="1550"/>
        <w:gridCol w:w="1559"/>
        <w:gridCol w:w="260"/>
        <w:gridCol w:w="760"/>
        <w:gridCol w:w="134"/>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Accumulated Depreciation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Accumulated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tbl>
      <w:tblPr>
        <w:tblW w:w="8111" w:type="dxa"/>
        <w:jc w:val="left"/>
        <w:tblInd w:w="0" w:type="dxa"/>
        <w:tblLayout w:type="fixed"/>
        <w:tblCellMar>
          <w:top w:w="28" w:type="dxa"/>
          <w:left w:w="28" w:type="dxa"/>
          <w:bottom w:w="28" w:type="dxa"/>
          <w:right w:w="28" w:type="dxa"/>
        </w:tblCellMar>
      </w:tblPr>
      <w:tblGrid>
        <w:gridCol w:w="2420"/>
        <w:gridCol w:w="2131"/>
        <w:gridCol w:w="2138"/>
        <w:gridCol w:w="109"/>
        <w:gridCol w:w="109"/>
        <w:gridCol w:w="109"/>
        <w:gridCol w:w="278"/>
        <w:gridCol w:w="614"/>
        <w:gridCol w:w="203"/>
      </w:tblGrid>
      <w:tr>
        <w:trPr/>
        <w:tc>
          <w:tcPr>
            <w:tcW w:w="2420"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redeemable noncontrolling interests, net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contribution from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the Company’s disaggregation of revenue from contracts with customers along with the reportable segment for each category:</w:t>
      </w:r>
    </w:p>
    <w:tbl>
      <w:tblPr>
        <w:tblW w:w="9195"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42"/>
        <w:gridCol w:w="142"/>
        <w:gridCol w:w="142"/>
        <w:gridCol w:w="467"/>
        <w:gridCol w:w="1032"/>
        <w:gridCol w:w="241"/>
        <w:gridCol w:w="142"/>
        <w:gridCol w:w="142"/>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48"/>
        <w:gridCol w:w="863"/>
        <w:gridCol w:w="234"/>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14</w:t>
                      </w:r>
                    </w:p>
                  </w:txbxContent>
                </v:textbox>
                <w10:wrap type="none"/>
              </v:rect>
            </w:pict>
          </mc:Fallback>
        </mc:AlternateContent>
      </w:r>
    </w:p>
    <w:p>
      <w:pPr>
        <w:pStyle w:val="TextBody"/>
        <w:bidi w:val="0"/>
        <w:spacing w:before="0" w:after="180"/>
        <w:jc w:val="both"/>
        <w:rPr/>
      </w:pPr>
      <w:r>
        <w:rPr/>
      </w:r>
    </w:p>
    <w:tbl>
      <w:tblPr>
        <w:tblW w:w="9380"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28"/>
        <w:gridCol w:w="128"/>
        <w:gridCol w:w="128"/>
        <w:gridCol w:w="465"/>
        <w:gridCol w:w="1030"/>
        <w:gridCol w:w="244"/>
        <w:gridCol w:w="128"/>
        <w:gridCol w:w="128"/>
        <w:gridCol w:w="128"/>
        <w:gridCol w:w="12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338 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342 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392 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(273)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132 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177 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48"/>
        <w:gridCol w:w="863"/>
        <w:gridCol w:w="234"/>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10"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18"/>
        <w:gridCol w:w="118"/>
        <w:gridCol w:w="118"/>
        <w:gridCol w:w="465"/>
        <w:gridCol w:w="1030"/>
        <w:gridCol w:w="244"/>
        <w:gridCol w:w="118"/>
        <w:gridCol w:w="118"/>
        <w:gridCol w:w="118"/>
        <w:gridCol w:w="11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658 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205 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147 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688 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835 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(526)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93 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285 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378 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15</w:t>
                      </w:r>
                    </w:p>
                  </w:txbxContent>
                </v:textbox>
                <w10:wrap type="none"/>
              </v:rect>
            </w:pict>
          </mc:Fallback>
        </mc:AlternateContent>
      </w:r>
    </w:p>
    <w:p>
      <w:pPr>
        <w:pStyle w:val="TextBody"/>
        <w:bidi w:val="0"/>
        <w:spacing w:before="0" w:after="180"/>
        <w:jc w:val="both"/>
        <w:rPr/>
      </w:pPr>
      <w:r>
        <w:rPr/>
      </w:r>
    </w:p>
    <w:tbl>
      <w:tblPr>
        <w:tblW w:w="9139"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31"/>
        <w:gridCol w:w="131"/>
        <w:gridCol w:w="131"/>
        <w:gridCol w:w="466"/>
        <w:gridCol w:w="1033"/>
        <w:gridCol w:w="240"/>
        <w:gridCol w:w="131"/>
        <w:gridCol w:w="131"/>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575 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contract assets included on the Company’s consolidated balance sheets:</w:t>
      </w:r>
    </w:p>
    <w:tbl>
      <w:tblPr>
        <w:tblW w:w="7376" w:type="dxa"/>
        <w:jc w:val="left"/>
        <w:tblInd w:w="0" w:type="dxa"/>
        <w:tblLayout w:type="fixed"/>
        <w:tblCellMar>
          <w:top w:w="28" w:type="dxa"/>
          <w:left w:w="28" w:type="dxa"/>
          <w:bottom w:w="28" w:type="dxa"/>
          <w:right w:w="28" w:type="dxa"/>
        </w:tblCellMar>
      </w:tblPr>
      <w:tblGrid>
        <w:gridCol w:w="1558"/>
        <w:gridCol w:w="1369"/>
        <w:gridCol w:w="1378"/>
        <w:gridCol w:w="310"/>
        <w:gridCol w:w="685"/>
        <w:gridCol w:w="160"/>
        <w:gridCol w:w="109"/>
        <w:gridCol w:w="109"/>
        <w:gridCol w:w="109"/>
        <w:gridCol w:w="339"/>
        <w:gridCol w:w="750"/>
        <w:gridCol w:w="500"/>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Contracts with customers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Leases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Effective January 1, 2026, the Company adopted ASU No.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The amendment clarifies when software costs should be capitalized and requires certain disclosures for all capitalized internal-use software costs. The Company adopted ASU 2025-06 prospectively and the adoption had no material impact on the Company’s financial statements.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Effective January 1, 2026, the Company adopted ASU No.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serif" w:hAnsi="Times New Roman;serif"/>
          <w:b w:val="false"/>
          <w:color w:val="000000"/>
          <w:sz w:val="20"/>
        </w:rPr>
        <w:t xml:space="preserve">The amendment expands the derivative scope exceptions and clarifies when an entity should apply the guidance 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to contracts with share-based noncash consideration from a customer for the transfer of goods or services. The Company adopted ASU 2025-07 prospectively, and the adoption had no material impact on the Company’s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Standards Not Yet Adopted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May 2026, the FASB issued ASU 2026-02, </w:t>
      </w:r>
      <w:r>
        <w:rPr>
          <w:rFonts w:ascii="Times New Roman;serif" w:hAnsi="Times New Roman;serif"/>
          <w:b w:val="false"/>
          <w:i/>
          <w:color w:val="000000"/>
          <w:sz w:val="20"/>
        </w:rPr>
        <w:t>Environmental Credits and Environmental Credit Obligations (Topic 818)</w:t>
      </w:r>
      <w:r>
        <w:rPr>
          <w:rFonts w:ascii="Times New Roman;serif" w:hAnsi="Times New Roman;serif"/>
          <w:b w:val="false"/>
          <w:color w:val="000000"/>
          <w:sz w:val="20"/>
        </w:rPr>
        <w:t>, which establishes guidance for the recognition, measurement, presentation and disclosure of environmental credits and environmental credit obligations. The guidance is effective for annual reporting periods beginning after December 15, 2027 and interim reporting periods within those annual periods. The amendment must be applied retrospectively through a cumulative-effect adjustment to the opening balance of retained earnings as of the beginning of the annual reporting period of adoption. Early adoption is permitted. As of June 30, 2026, the Company has not elected to early adopt the standard and is evaluating the effect of the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88" w:before="0" w:after="180"/>
        <w:ind w:left="0" w:right="0" w:firstLine="450"/>
        <w:jc w:val="both"/>
        <w:rPr/>
      </w:pPr>
      <w:r>
        <w:rPr>
          <w:rFonts w:ascii="Times New Roman;serif" w:hAnsi="Times New Roman;serif"/>
          <w:b/>
          <w:i/>
          <w:color w:val="000000"/>
          <w:sz w:val="20"/>
          <w:shd w:fill="FFFFFF" w:val="clear"/>
        </w:rPr>
        <w:t xml:space="preserve">Cardinal Portfolio Acquisition </w:t>
      </w:r>
      <w:r>
        <w:rPr>
          <w:color w:val="000000"/>
          <w:shd w:fill="FFFFFF" w:val="clear"/>
        </w:rPr>
        <w:t xml:space="preserve">— </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a 610 MW portfolio of operational solar facilities located in eight states, for net cash consideration of $322 million, which includes post-closing adjustments of $2 million. Of the net consideration, $242 million related to facilities consolidated by the Company and $80 million related to facilities held through a joint venture with a third-party investor. The joint venture includes 12 facilities located in the western U.S., comprising 225 MW. The Company’s investment in the joint venture is accounted for under the equity method, as further described in </w:t>
      </w:r>
      <w:r>
        <w:rPr>
          <w:rFonts w:ascii="Times New Roman;serif" w:hAnsi="Times New Roman;serif"/>
          <w:b w:val="false"/>
          <w:color w:val="000000"/>
          <w:sz w:val="20"/>
        </w:rPr>
        <w:t xml:space="preserve">Note 4,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Cardinal Portfolio has a weighted average remaining contract duration of approximately 10 years. The Cardinal Portfolio is reflected in the Renewables &amp; Storage segment and the acquisition was funded with $100 million in borrowings under the new financing arrangement entered into in connection with the acquisition, as further described in </w:t>
      </w:r>
      <w:r>
        <w:rPr>
          <w:rFonts w:ascii="Times New Roman;serif" w:hAnsi="Times New Roman;serif"/>
          <w:b w:val="false"/>
          <w:color w:val="000000"/>
          <w:sz w:val="20"/>
        </w:rPr>
        <w:t>Note 7</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shd w:fill="FFFFFF" w:val="clear"/>
        </w:rPr>
        <w:t>, as well as existing sources of liquidity. After factoring in cash acquired, transaction expenses and proceeds from the related financing activities, the Company estimates its net capital investment in the Cardinal Portfolio will be approximately $240 million.</w:t>
      </w:r>
    </w:p>
    <w:p>
      <w:pPr>
        <w:pStyle w:val="TextBody"/>
        <w:bidi w:val="0"/>
        <w:spacing w:lineRule="auto" w:line="288" w:before="0" w:after="60"/>
        <w:ind w:left="0" w:right="0" w:firstLine="450"/>
        <w:jc w:val="both"/>
        <w:rPr/>
      </w:pPr>
      <w:r>
        <w:rPr>
          <w:rFonts w:ascii="Times New Roman;serif" w:hAnsi="Times New Roman;serif"/>
          <w:b w:val="false"/>
          <w:color w:val="000000"/>
          <w:sz w:val="20"/>
          <w:shd w:fill="FFFFFF" w:val="clear"/>
        </w:rPr>
        <w:t xml:space="preserve">The Company accounted for the consolidated group of facilities acquired by Cardinal Purchaser LLC as a business combination under ASC 805, </w:t>
      </w:r>
      <w:r>
        <w:rPr>
          <w:rFonts w:ascii="Times New Roman;serif" w:hAnsi="Times New Roman;serif"/>
          <w:b w:val="false"/>
          <w:i/>
          <w:color w:val="000000"/>
          <w:sz w:val="20"/>
          <w:shd w:fill="FFFFFF" w:val="clear"/>
        </w:rPr>
        <w:t>Business Combinations</w:t>
      </w:r>
      <w:r>
        <w:rPr>
          <w:rFonts w:ascii="Times New Roman;serif" w:hAnsi="Times New Roman;serif"/>
          <w:b w:val="false"/>
          <w:color w:val="000000"/>
          <w:sz w:val="20"/>
          <w:shd w:fill="FFFFFF" w:val="clear"/>
        </w:rPr>
        <w:t>, or ASC 805. The following table presents the preliminary fair value estimates of the assets acquired and liabilities assumed by Cardinal Purchaser LLC as of the acquisition date:</w:t>
      </w:r>
    </w:p>
    <w:tbl>
      <w:tblPr>
        <w:tblW w:w="6071" w:type="dxa"/>
        <w:jc w:val="left"/>
        <w:tblInd w:w="0" w:type="dxa"/>
        <w:tblLayout w:type="fixed"/>
        <w:tblCellMar>
          <w:top w:w="28" w:type="dxa"/>
          <w:left w:w="28" w:type="dxa"/>
          <w:bottom w:w="28" w:type="dxa"/>
          <w:right w:w="28" w:type="dxa"/>
        </w:tblCellMar>
      </w:tblPr>
      <w:tblGrid>
        <w:gridCol w:w="1447"/>
        <w:gridCol w:w="1276"/>
        <w:gridCol w:w="1281"/>
        <w:gridCol w:w="109"/>
        <w:gridCol w:w="109"/>
        <w:gridCol w:w="109"/>
        <w:gridCol w:w="440"/>
        <w:gridCol w:w="975"/>
        <w:gridCol w:w="325"/>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Cardinal Portfolio </w:t>
            </w:r>
            <w:r>
              <w:rPr>
                <w:rFonts w:ascii="Times New Roman;serif" w:hAnsi="Times New Roman;serif"/>
                <w:b/>
                <w:color w:val="000000"/>
                <w:sz w:val="12"/>
              </w:rPr>
              <w:t>(a)</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for power 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Noncontrolling interest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Excludes the equity method investment held by Cardinal JV Purchaser LLC.</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additional information regarding the assumed facility-level debt.</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Represents a tax equity fund, Shoreham Energy Holdings, LLC, which the Company consolidates as primary beneficiary. The Class A membership interests in Shoreham Energy Holdings, LLC are held by a tax equity investor.</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accordance with ASC 805, the assets acquired and liabilities assumed have been measured at fair value as of the acquisition date. The fair value of property, plant and equipment was determined primarily based on the income approach using discounted cash flows. This methodology was utilized as the forecasted cash flows incorporate specific attributes including age, useful life, equipment condition and technology. The fair value of intangible assets and liabilities for power purchase agreements was determined utilizing a variation of the income approach determined by discounting the replacement market price of the incremental cash flows associated with the contracts to present value. Intangible liabilities for power purchase agreements are included in other non-current liabilities. Primary assumptions utilized included estimates of generation, contractual prices, operating expenses and the weighted average cost of capital reflective of a market participant. These assumptions are considered to be a Level 3 measurement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as they utilize inputs that are not observable in the market. Long-term debt assumed as part of the acquisition was recorded at its estimated fair value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measurement of the acquired assets, assumed liabilities and noncontrolling interests above remain preliminary. The Company expects to finalize the fair value estimates within the measurement period, which will not exceed one year from the acquisition date.</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For the period from March 30, 2026 through June 30, 2026, the consolidated facilities contributed operating revenues of </w:t>
      </w:r>
      <w:r>
        <w:rPr>
          <w:rFonts w:ascii="Times New Roman;serif" w:hAnsi="Times New Roman;serif"/>
          <w:b w:val="false"/>
          <w:color w:val="000000"/>
          <w:sz w:val="20"/>
        </w:rPr>
        <w:t>$22 million and net income of $7 million to the Company’s consolidated results.</w:t>
      </w:r>
    </w:p>
    <w:p>
      <w:pPr>
        <w:pStyle w:val="TextBody"/>
        <w:bidi w:val="0"/>
        <w:spacing w:lineRule="auto" w:line="288" w:before="0" w:after="6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unaudited pro forma financial information presents the consolidated results of operations of the Company as if the business combination had occurred on January 1, 2025:</w:t>
      </w:r>
    </w:p>
    <w:tbl>
      <w:tblPr>
        <w:tblW w:w="6634" w:type="dxa"/>
        <w:jc w:val="left"/>
        <w:tblInd w:w="0" w:type="dxa"/>
        <w:tblLayout w:type="fixed"/>
        <w:tblCellMar>
          <w:top w:w="28" w:type="dxa"/>
          <w:left w:w="28" w:type="dxa"/>
          <w:bottom w:w="28" w:type="dxa"/>
          <w:right w:w="28" w:type="dxa"/>
        </w:tblCellMar>
      </w:tblPr>
      <w:tblGrid>
        <w:gridCol w:w="615"/>
        <w:gridCol w:w="539"/>
        <w:gridCol w:w="541"/>
        <w:gridCol w:w="109"/>
        <w:gridCol w:w="109"/>
        <w:gridCol w:w="109"/>
        <w:gridCol w:w="246"/>
        <w:gridCol w:w="545"/>
        <w:gridCol w:w="127"/>
        <w:gridCol w:w="127"/>
        <w:gridCol w:w="127"/>
        <w:gridCol w:w="127"/>
        <w:gridCol w:w="246"/>
        <w:gridCol w:w="545"/>
        <w:gridCol w:w="127"/>
        <w:gridCol w:w="109"/>
        <w:gridCol w:w="109"/>
        <w:gridCol w:w="109"/>
        <w:gridCol w:w="224"/>
        <w:gridCol w:w="496"/>
        <w:gridCol w:w="116"/>
        <w:gridCol w:w="116"/>
        <w:gridCol w:w="116"/>
        <w:gridCol w:w="116"/>
        <w:gridCol w:w="224"/>
        <w:gridCol w:w="496"/>
        <w:gridCol w:w="164"/>
      </w:tblGrid>
      <w:tr>
        <w:trPr/>
        <w:tc>
          <w:tcPr>
            <w:tcW w:w="6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 forma information includes adjustments to reflect the Company’s accounting policies and the impact of fair value adjustments to the consolidated facilities’ property, plant, and equipment, intangible assets and long-term debt, including related income tax effects.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Investments Accounted for by the Equity Method and Variable Interest Entities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not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Form 10</w:t>
      </w:r>
      <w:r>
        <w:rPr>
          <w:rFonts w:ascii="Times New Roman;serif" w:hAnsi="Times New Roman;serif"/>
          <w:b w:val="false"/>
          <w:color w:val="000000"/>
          <w:sz w:val="20"/>
        </w:rPr>
        <w:t>-K.</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equity investments in unconsolidated affiliates as of June 30, 2026:</w:t>
      </w:r>
    </w:p>
    <w:tbl>
      <w:tblPr>
        <w:tblW w:w="6082" w:type="dxa"/>
        <w:jc w:val="left"/>
        <w:tblInd w:w="0" w:type="dxa"/>
        <w:tblLayout w:type="fixed"/>
        <w:tblCellMar>
          <w:top w:w="28" w:type="dxa"/>
          <w:left w:w="28" w:type="dxa"/>
          <w:bottom w:w="28" w:type="dxa"/>
          <w:right w:w="28" w:type="dxa"/>
        </w:tblCellMar>
      </w:tblPr>
      <w:tblGrid>
        <w:gridCol w:w="740"/>
        <w:gridCol w:w="647"/>
        <w:gridCol w:w="667"/>
        <w:gridCol w:w="109"/>
        <w:gridCol w:w="109"/>
        <w:gridCol w:w="109"/>
        <w:gridCol w:w="499"/>
        <w:gridCol w:w="499"/>
        <w:gridCol w:w="501"/>
        <w:gridCol w:w="109"/>
        <w:gridCol w:w="109"/>
        <w:gridCol w:w="109"/>
        <w:gridCol w:w="475"/>
        <w:gridCol w:w="1051"/>
        <w:gridCol w:w="349"/>
      </w:tblGrid>
      <w:tr>
        <w:trPr/>
        <w:tc>
          <w:tcPr>
            <w:tcW w:w="7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Investment Balance </w:t>
            </w:r>
            <w:r>
              <w:rPr>
                <w:rFonts w:ascii="Times New Roman;serif" w:hAnsi="Times New Roman;serif"/>
                <w:b/>
                <w:color w:val="000000"/>
                <w:sz w:val="13"/>
              </w:rPr>
              <w:t>(a)</w:t>
            </w:r>
          </w:p>
        </w:tc>
      </w:tr>
      <w:tr>
        <w:trPr/>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Cardinal Portfolio JV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Desert Sunlight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Elkhorn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GenConn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Juan Mesa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 Company’s maximum exposure to loss is limited to its investment balances.</w:t>
      </w:r>
    </w:p>
    <w:p>
      <w:pPr>
        <w:pStyle w:val="TextBody"/>
        <w:bidi w:val="0"/>
        <w:spacing w:lineRule="auto" w:line="288" w:before="0" w:after="6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Acquired on March 30, 2026. See Note 3, </w:t>
      </w:r>
      <w:r>
        <w:rPr>
          <w:rFonts w:ascii="Times New Roman;serif" w:hAnsi="Times New Roman;serif"/>
          <w:b w:val="false"/>
          <w:i/>
          <w:color w:val="000000"/>
          <w:sz w:val="16"/>
        </w:rPr>
        <w:t>Acquisitions</w:t>
      </w:r>
      <w:r>
        <w:rPr>
          <w:rFonts w:ascii="Times New Roman;serif" w:hAnsi="Times New Roman;serif"/>
          <w:b w:val="false"/>
          <w:color w:val="000000"/>
          <w:sz w:val="16"/>
        </w:rPr>
        <w:t>, for further discussion.</w:t>
      </w:r>
    </w:p>
    <w:p>
      <w:pPr>
        <w:pStyle w:val="TextBody"/>
        <w:bidi w:val="0"/>
        <w:spacing w:lineRule="auto" w:line="288" w:before="0" w:after="18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GenConn is a VIE.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pro-rata share of non-recourse debt held by unconsolidated affiliates was $351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further described under Item 15 — Note 5,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to the consolidated financial statements included in the Company’s 2025 Form 10-K, the Company has a controlling financial interest in certain entities which have been identified as VIEs under ASC 810, </w:t>
      </w:r>
      <w:r>
        <w:rPr>
          <w:rFonts w:ascii="Times New Roman;serif" w:hAnsi="Times New Roman;serif"/>
          <w:b w:val="false"/>
          <w:i/>
          <w:color w:val="000000"/>
          <w:sz w:val="20"/>
        </w:rPr>
        <w:t>Consolidation</w:t>
      </w:r>
      <w:r>
        <w:rPr>
          <w:rFonts w:ascii="Times New Roman;serif" w:hAnsi="Times New Roman;serif"/>
          <w:b w:val="false"/>
          <w:color w:val="000000"/>
          <w:sz w:val="20"/>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activity during the six months ended June 30, 2026 related to the Company’s consolidated VIEs:</w:t>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Palisade Plains Partnership </w:t>
      </w:r>
      <w:r>
        <w:rPr>
          <w:color w:val="000000"/>
          <w:shd w:fill="FFFFFF" w:val="clear"/>
        </w:rPr>
        <w:t xml:space="preserve">— </w:t>
      </w:r>
      <w:r>
        <w:rPr>
          <w:rFonts w:ascii="Times New Roman;serif" w:hAnsi="Times New Roman;serif"/>
          <w:b w:val="false"/>
          <w:color w:val="000000"/>
          <w:sz w:val="20"/>
          <w:shd w:fill="FFFFFF" w:val="clear"/>
        </w:rPr>
        <w:t xml:space="preserve">On February 19, 2026, Clearway Renew contributed its rights and interests in certain transformer supply agreements to Palisade Plains Development Partnership LLC, or Palisade Plains Partnership, an indirect subsidiary of the Company, in exchange for Class A membership interests. In connection with the transaction, Clearway Renew contributed $6 million for deposits related to the future delivery of equipment, which is included in other non-current assets on the Company’s consolidated balance sheet, and received a distribution of $5 million. The Class A membership interests held by Clearway Renew are reflected as redeemable noncontrolling interest on the Company’s consolidated balance sheet, as the arrangement provides Clearway Renew with the right to redeem their interests in the partnership for cash or other assets at a point in time. As of </w:t>
      </w:r>
      <w:r>
        <w:rPr>
          <w:rFonts w:ascii="Times New Roman;serif" w:hAnsi="Times New Roman;serif"/>
          <w:b w:val="false"/>
          <w:color w:val="000000"/>
          <w:sz w:val="20"/>
        </w:rPr>
        <w:t>June 30, 2026, the redeemable noncontrolling interest balance associated with Clearway Renew’s Class A membership interests in the Palisade Plains Partnership was $1 million.</w:t>
      </w:r>
      <w:r>
        <w:rPr>
          <w:color w:val="000000"/>
          <w:shd w:fill="FFFFFF" w:val="clear"/>
        </w:rPr>
        <w:t xml:space="preserve"> </w:t>
      </w:r>
      <w:r>
        <w:rPr>
          <w:rFonts w:ascii="Times New Roman;serif" w:hAnsi="Times New Roman;serif"/>
          <w:b w:val="false"/>
          <w:color w:val="000000"/>
          <w:sz w:val="20"/>
          <w:shd w:fill="FFFFFF" w:val="clear"/>
        </w:rPr>
        <w:t>Palisade Plains Partnership is a VIE that indirectly owns the Goat Mountain wind facility and whose purpose is to carry out the development, construction and completion of the repowering of the facility. Palisade Plains Development Partnership Holdco LLC, an indirect subsidiary of the Company, consolidates Palisade Plains Partnership as primary beneficiary through its Class B membership interests, which entitles the Company to 99% of distributable cash.</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consolidated VIEs consisted of the following:</w:t>
      </w:r>
    </w:p>
    <w:tbl>
      <w:tblPr>
        <w:tblW w:w="5650" w:type="dxa"/>
        <w:jc w:val="left"/>
        <w:tblInd w:w="0" w:type="dxa"/>
        <w:tblLayout w:type="fixed"/>
        <w:tblCellMar>
          <w:top w:w="28" w:type="dxa"/>
          <w:left w:w="28" w:type="dxa"/>
          <w:bottom w:w="28" w:type="dxa"/>
          <w:right w:w="28" w:type="dxa"/>
        </w:tblCellMar>
      </w:tblPr>
      <w:tblGrid>
        <w:gridCol w:w="936"/>
        <w:gridCol w:w="820"/>
        <w:gridCol w:w="823"/>
        <w:gridCol w:w="260"/>
        <w:gridCol w:w="760"/>
        <w:gridCol w:w="134"/>
        <w:gridCol w:w="109"/>
        <w:gridCol w:w="109"/>
        <w:gridCol w:w="109"/>
        <w:gridCol w:w="342"/>
        <w:gridCol w:w="999"/>
        <w:gridCol w:w="249"/>
      </w:tblGrid>
      <w:tr>
        <w:trPr/>
        <w:tc>
          <w:tcPr>
            <w:tcW w:w="93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 Fair Value of Financial Instruments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Accounting under ASC 820</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the Company’s recorded financial instrument not carried at fair market value or that does not approximate fair value is as follows:</w:t>
      </w:r>
    </w:p>
    <w:tbl>
      <w:tblPr>
        <w:tblW w:w="9453" w:type="dxa"/>
        <w:jc w:val="left"/>
        <w:tblInd w:w="0" w:type="dxa"/>
        <w:tblLayout w:type="fixed"/>
        <w:tblCellMar>
          <w:top w:w="28" w:type="dxa"/>
          <w:left w:w="28" w:type="dxa"/>
          <w:bottom w:w="28" w:type="dxa"/>
          <w:right w:w="28" w:type="dxa"/>
        </w:tblCellMar>
      </w:tblPr>
      <w:tblGrid>
        <w:gridCol w:w="1351"/>
        <w:gridCol w:w="1190"/>
        <w:gridCol w:w="1194"/>
        <w:gridCol w:w="318"/>
        <w:gridCol w:w="928"/>
        <w:gridCol w:w="164"/>
        <w:gridCol w:w="109"/>
        <w:gridCol w:w="109"/>
        <w:gridCol w:w="109"/>
        <w:gridCol w:w="211"/>
        <w:gridCol w:w="616"/>
        <w:gridCol w:w="109"/>
        <w:gridCol w:w="109"/>
        <w:gridCol w:w="109"/>
        <w:gridCol w:w="109"/>
        <w:gridCol w:w="318"/>
        <w:gridCol w:w="928"/>
        <w:gridCol w:w="164"/>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 including current portion</w:t>
            </w:r>
            <w:r>
              <w:rPr>
                <w:color w:val="000000"/>
              </w:rPr>
              <w:t xml:space="preserve"> </w:t>
            </w:r>
            <w:r>
              <w:rPr>
                <w:rFonts w:ascii="Times New Roman;serif" w:hAnsi="Times New Roman;serif"/>
                <w:b w:val="false"/>
                <w:color w:val="000000"/>
                <w:sz w:val="13"/>
              </w:rPr>
              <w:t>(a)</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Excludes net debt issuance costs, which are recorded as a reduction to long-term debt on the Company’s consolidated balance sheets.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738"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89"/>
        <w:gridCol w:w="114"/>
        <w:gridCol w:w="109"/>
        <w:gridCol w:w="109"/>
        <w:gridCol w:w="109"/>
        <w:gridCol w:w="211"/>
        <w:gridCol w:w="361"/>
        <w:gridCol w:w="109"/>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Energy-related commodity contracts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financial instruments </w:t>
            </w:r>
            <w:r>
              <w:rPr>
                <w:rFonts w:ascii="Times New Roman;serif" w:hAnsi="Times New Roman;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Energy-related commodity contracts</w:t>
            </w:r>
            <w:r>
              <w:rPr>
                <w:color w:val="000000"/>
              </w:rPr>
              <w:t xml:space="preserv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There were no derivative assets or liabilities classified as Level 1 as of June 30, 2026 and December 31, 2025.</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Includes short-term backbone transportation service contracts classified as Level 2 and heat rate call option commodity contracts classified as Level 3.</w:t>
      </w:r>
    </w:p>
    <w:p>
      <w:pPr>
        <w:pStyle w:val="TextBody"/>
        <w:bidi w:val="0"/>
        <w:spacing w:lineRule="auto" w:line="288" w:before="0" w:after="6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Includes SREC contract.</w:t>
      </w:r>
    </w:p>
    <w:p>
      <w:pPr>
        <w:pStyle w:val="TextBody"/>
        <w:bidi w:val="0"/>
        <w:spacing w:lineRule="auto" w:line="288" w:before="0" w:after="18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Includes long-term power commodity contracts and heat rate call option commodity contracts classified as Level 3. As of June 30, 2026 and December 31, 2025, $80 million and $330 million, respectively, related to long-term power commodity contracts, and $2 million and $3 million, respectively, related to heat rate call option commodity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346"/>
        <w:gridCol w:w="1136"/>
        <w:gridCol w:w="1141"/>
        <w:gridCol w:w="109"/>
        <w:gridCol w:w="109"/>
        <w:gridCol w:w="109"/>
        <w:gridCol w:w="311"/>
        <w:gridCol w:w="756"/>
        <w:gridCol w:w="160"/>
        <w:gridCol w:w="160"/>
        <w:gridCol w:w="160"/>
        <w:gridCol w:w="160"/>
        <w:gridCol w:w="311"/>
        <w:gridCol w:w="756"/>
        <w:gridCol w:w="160"/>
        <w:gridCol w:w="109"/>
        <w:gridCol w:w="109"/>
        <w:gridCol w:w="109"/>
        <w:gridCol w:w="309"/>
        <w:gridCol w:w="751"/>
        <w:gridCol w:w="159"/>
        <w:gridCol w:w="159"/>
        <w:gridCol w:w="159"/>
        <w:gridCol w:w="159"/>
        <w:gridCol w:w="309"/>
        <w:gridCol w:w="751"/>
        <w:gridCol w:w="238"/>
      </w:tblGrid>
      <w:tr>
        <w:trPr/>
        <w:tc>
          <w:tcPr>
            <w:tcW w:w="13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4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Transfers out of Level 3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gains (losses) for the period 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Ending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unrealized gains included in earnings for derivatives and other financial instruments held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 xml:space="preserve">During 2026, the Company restructured the Mesquite Sky, Langford and Elbow Creek energy-related commodity contracts, resulting in the derecognition of the related derivative liabilities and classification as in-substance financings, as further described in Note 7, </w:t>
      </w:r>
      <w:r>
        <w:rPr>
          <w:rFonts w:ascii="Times New Roman;serif" w:hAnsi="Times New Roman;serif"/>
          <w:b w:val="false"/>
          <w:i/>
          <w:color w:val="000000"/>
          <w:sz w:val="16"/>
        </w:rPr>
        <w:t>Long-term Debt</w:t>
      </w:r>
      <w:r>
        <w:rPr>
          <w:rFonts w:ascii="Times New Roman;serif" w:hAnsi="Times New Roman;serif"/>
          <w:b w:val="false"/>
          <w:color w:val="000000"/>
          <w:sz w:val="16"/>
        </w:rPr>
        <w: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commodity contracts. To the extent that observable forward prices are not available, the quoted prices reflect the average of the forward prices from the prior year, adjusted for inflation. As of June 30, 2026, contracts valued with prices provided by models and other valuation techniques make up 10% of derivative assets, 88% of derivative liabilities and 100% of other financial instruments.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positions classified as Level 3 relate to physical and financial energy-related contracts, including long-term power commodity contracts and heat rate call option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99"/>
        <w:gridCol w:w="587"/>
        <w:gridCol w:w="589"/>
        <w:gridCol w:w="196"/>
        <w:gridCol w:w="406"/>
        <w:gridCol w:w="109"/>
        <w:gridCol w:w="300"/>
        <w:gridCol w:w="507"/>
        <w:gridCol w:w="169"/>
        <w:gridCol w:w="422"/>
        <w:gridCol w:w="422"/>
        <w:gridCol w:w="424"/>
        <w:gridCol w:w="762"/>
        <w:gridCol w:w="762"/>
        <w:gridCol w:w="764"/>
        <w:gridCol w:w="210"/>
        <w:gridCol w:w="597"/>
        <w:gridCol w:w="116"/>
        <w:gridCol w:w="217"/>
        <w:gridCol w:w="616"/>
        <w:gridCol w:w="120"/>
        <w:gridCol w:w="258"/>
        <w:gridCol w:w="736"/>
        <w:gridCol w:w="217"/>
      </w:tblGrid>
      <w:tr>
        <w:trPr/>
        <w:tc>
          <w:tcPr>
            <w:tcW w:w="6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Input/Range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MMBtu)</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Forecast annual generation levels of certain DG solar facilities</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57,935 MWh</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115,869 MWh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97,214 MWh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impact on the fair value measurements to increases/(decreases) in significant unobservable inputs as of June 30, 2026:</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Fair Value Measurement</w:t>
            </w:r>
          </w:p>
        </w:tc>
      </w:tr>
      <w:tr>
        <w:trPr/>
        <w:tc>
          <w:tcPr>
            <w:tcW w:w="2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Power</w:t>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2026, the non-performance reserve was a $2 million gain recorded primarily to total operating revenues in the consolidated statements of operations. It is possible that future market prices could vary from those used in recording assets and liabilities and such variations could be material.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credit risk discussion as disclosed under Item 15 —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 xml:space="preserve">consolidated financial statements included in the </w:t>
      </w:r>
      <w:r>
        <w:rPr>
          <w:rFonts w:ascii="Times New Roman;serif" w:hAnsi="Times New Roman;serif"/>
          <w:b w:val="false"/>
          <w:color w:val="231F20"/>
          <w:sz w:val="20"/>
        </w:rPr>
        <w:t xml:space="preserve">Company’s </w:t>
      </w:r>
      <w:r>
        <w:rPr>
          <w:rFonts w:ascii="Times New Roman;serif" w:hAnsi="Times New Roman;serif"/>
          <w:b w:val="false"/>
          <w:color w:val="000000"/>
          <w:sz w:val="20"/>
        </w:rPr>
        <w:t>2025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6 — Derivative Instruments and Hedging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in order to hedge the variability of expected future cash interest payments that may arise in connection with its non-recourse debt or a potential refinancing of its Senior Notes. As of June 30, 2026, the Company had interest rate derivative instruments extending through 2036,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Energy-Related Commodity Contracts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energy-related derivative instruments extending through 2032. At June 30, 2026, these contracts were not designated as cash flow or fair value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Volumetric Underlying Derivative Transactions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notional volume buy/(sell) of the Company’s open derivative transactions broken out by commodity:</w:t>
      </w:r>
    </w:p>
    <w:tbl>
      <w:tblPr>
        <w:tblW w:w="5199"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253"/>
        <w:gridCol w:w="741"/>
        <w:gridCol w:w="131"/>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of Derivative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555"/>
        <w:gridCol w:w="1338"/>
        <w:gridCol w:w="1342"/>
        <w:gridCol w:w="288"/>
        <w:gridCol w:w="637"/>
        <w:gridCol w:w="149"/>
        <w:gridCol w:w="109"/>
        <w:gridCol w:w="109"/>
        <w:gridCol w:w="109"/>
        <w:gridCol w:w="374"/>
        <w:gridCol w:w="829"/>
        <w:gridCol w:w="196"/>
        <w:gridCol w:w="109"/>
        <w:gridCol w:w="109"/>
        <w:gridCol w:w="109"/>
        <w:gridCol w:w="309"/>
        <w:gridCol w:w="596"/>
        <w:gridCol w:w="160"/>
        <w:gridCol w:w="109"/>
        <w:gridCol w:w="109"/>
        <w:gridCol w:w="109"/>
        <w:gridCol w:w="366"/>
        <w:gridCol w:w="810"/>
        <w:gridCol w:w="275"/>
      </w:tblGrid>
      <w:tr>
        <w:trPr/>
        <w:tc>
          <w:tcPr>
            <w:tcW w:w="155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Cash Flow Hedges</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Cash Flow Hedges: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current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Cash Flow Hedges</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present derivative assets and liabilities on the balance sheet on a trade-by-trade basis and does not offset amounts at the counterparty level. As of June 30, 2026 and December 31, 2025, there was no outstanding collateral paid or received.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12"/>
        <w:gridCol w:w="1065"/>
        <w:gridCol w:w="1017"/>
        <w:gridCol w:w="834"/>
        <w:gridCol w:w="1795"/>
        <w:gridCol w:w="418"/>
        <w:gridCol w:w="164"/>
        <w:gridCol w:w="164"/>
        <w:gridCol w:w="164"/>
        <w:gridCol w:w="483"/>
        <w:gridCol w:w="904"/>
        <w:gridCol w:w="237"/>
        <w:gridCol w:w="164"/>
        <w:gridCol w:w="164"/>
        <w:gridCol w:w="164"/>
        <w:gridCol w:w="317"/>
        <w:gridCol w:w="701"/>
        <w:gridCol w:w="23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0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 instruments </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23</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0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on the Company’s accumulated OCI (OCL) balance attributable to interest rate swaps designated as cash flow hedge derivatives, net of tax:</w:t>
      </w:r>
    </w:p>
    <w:tbl>
      <w:tblPr>
        <w:tblW w:w="10205" w:type="dxa"/>
        <w:jc w:val="left"/>
        <w:tblInd w:w="0" w:type="dxa"/>
        <w:tblLayout w:type="fixed"/>
        <w:tblCellMar>
          <w:top w:w="28" w:type="dxa"/>
          <w:left w:w="28" w:type="dxa"/>
          <w:bottom w:w="28" w:type="dxa"/>
          <w:right w:w="28" w:type="dxa"/>
        </w:tblCellMar>
      </w:tblPr>
      <w:tblGrid>
        <w:gridCol w:w="2197"/>
        <w:gridCol w:w="1870"/>
        <w:gridCol w:w="1881"/>
        <w:gridCol w:w="257"/>
        <w:gridCol w:w="312"/>
        <w:gridCol w:w="132"/>
        <w:gridCol w:w="132"/>
        <w:gridCol w:w="132"/>
        <w:gridCol w:w="132"/>
        <w:gridCol w:w="257"/>
        <w:gridCol w:w="512"/>
        <w:gridCol w:w="132"/>
        <w:gridCol w:w="109"/>
        <w:gridCol w:w="109"/>
        <w:gridCol w:w="109"/>
        <w:gridCol w:w="233"/>
        <w:gridCol w:w="345"/>
        <w:gridCol w:w="120"/>
        <w:gridCol w:w="120"/>
        <w:gridCol w:w="120"/>
        <w:gridCol w:w="120"/>
        <w:gridCol w:w="233"/>
        <w:gridCol w:w="462"/>
        <w:gridCol w:w="179"/>
      </w:tblGrid>
      <w:tr>
        <w:trPr/>
        <w:tc>
          <w:tcPr>
            <w:tcW w:w="219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(OCL) beginning balance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Rosamond South I Drop Down </w:t>
            </w:r>
            <w:r>
              <w:rPr>
                <w:rFonts w:ascii="Times New Roman;serif" w:hAnsi="Times New Roman;serif"/>
                <w:b w:val="false"/>
                <w:color w:val="000000"/>
                <w:sz w:val="13"/>
              </w:rPr>
              <w:t>(a)</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Daggett 1 Drop Down </w:t>
            </w:r>
            <w:r>
              <w:rPr>
                <w:rFonts w:ascii="Times New Roman;serif" w:hAnsi="Times New Roman;serif"/>
                <w:b w:val="false"/>
                <w:color w:val="000000"/>
                <w:sz w:val="13"/>
              </w:rPr>
              <w:t>(b)</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Luna Valley Drop Down </w:t>
            </w:r>
            <w:r>
              <w:rPr>
                <w:rFonts w:ascii="Times New Roman;serif" w:hAnsi="Times New Roman;serif"/>
                <w:b w:val="false"/>
                <w:color w:val="000000"/>
                <w:sz w:val="13"/>
              </w:rPr>
              <w:t>(c)</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Pine Forest Drop Down </w:t>
            </w:r>
            <w:r>
              <w:rPr>
                <w:rFonts w:ascii="Times New Roman;serif" w:hAnsi="Times New Roman;serif"/>
                <w:b w:val="false"/>
                <w:color w:val="000000"/>
                <w:sz w:val="13"/>
              </w:rPr>
              <w:t>(d)</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accumulated OCI/OCL to income due to realization of previously deferred amounts</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of cash flow hedge accounting contracts</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OCI (OCL) ending balance, net of income tax of $(3) and $4, respectively</w:t>
            </w:r>
          </w:p>
        </w:tc>
        <w:tc>
          <w:tcPr>
            <w:tcW w:w="5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(OCL) attributable to noncontrolling interests</w:t>
            </w:r>
          </w:p>
        </w:tc>
        <w:tc>
          <w:tcPr>
            <w:tcW w:w="5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(OCL) attributable to Clearway Energy, Inc.</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expected to be realized from OCI during the next 12 months, net of income tax expense of $(2)</w:t>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Represents $1 million attributable to the Company and $3 million attributable to noncontrolling interests.</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Represents $4 million attributable to the Company and $2 million attributable to noncontrolling interests.</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Represents $5 million attributable to the Company and $3 million attributable to noncontrolling interests.</w:t>
      </w:r>
    </w:p>
    <w:p>
      <w:pPr>
        <w:pStyle w:val="TextBody"/>
        <w:bidi w:val="0"/>
        <w:spacing w:lineRule="auto" w:line="288" w:before="0" w:after="18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Represents $3 million attributable to the Company and $2 million attributable to noncontrolling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Amounts reclassified from accumulated OCI/OCL into income are recorded to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Derivative Instruments on the Consolidated Statements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Mark-to-market gains/(losses) related to the Company’s derivatives are recorded in the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2337"/>
        <w:gridCol w:w="1900"/>
        <w:gridCol w:w="1907"/>
        <w:gridCol w:w="266"/>
        <w:gridCol w:w="323"/>
        <w:gridCol w:w="137"/>
        <w:gridCol w:w="137"/>
        <w:gridCol w:w="137"/>
        <w:gridCol w:w="137"/>
        <w:gridCol w:w="266"/>
        <w:gridCol w:w="323"/>
        <w:gridCol w:w="137"/>
        <w:gridCol w:w="109"/>
        <w:gridCol w:w="109"/>
        <w:gridCol w:w="109"/>
        <w:gridCol w:w="234"/>
        <w:gridCol w:w="284"/>
        <w:gridCol w:w="121"/>
        <w:gridCol w:w="121"/>
        <w:gridCol w:w="121"/>
        <w:gridCol w:w="121"/>
        <w:gridCol w:w="234"/>
        <w:gridCol w:w="456"/>
        <w:gridCol w:w="179"/>
      </w:tblGrid>
      <w:tr>
        <w:trPr/>
        <w:tc>
          <w:tcPr>
            <w:tcW w:w="233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(Interest expense)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Total operating revenues) </w:t>
            </w:r>
            <w:r>
              <w:rPr>
                <w:rFonts w:ascii="Times New Roman;serif" w:hAnsi="Times New Roman;serif"/>
                <w:b w:val="false"/>
                <w:color w:val="000000"/>
                <w:sz w:val="13"/>
              </w:rPr>
              <w:t>(a)</w:t>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Cost of operations) </w:t>
            </w:r>
            <w:r>
              <w:rPr>
                <w:rFonts w:ascii="Times New Roman;serif" w:hAnsi="Times New Roman;serif"/>
                <w:b w:val="false"/>
                <w:color w:val="000000"/>
                <w:sz w:val="13"/>
              </w:rPr>
              <w:t>(b)</w:t>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Relates to long-term energy-related commodity contracts at Elbow Creek, Mesquite Star, Mt. Storm, Langford and Mesquite Sky and heat rate call option energy-related commodity contracts at El Segundo, Marsh Landing and Walnut Creek.</w:t>
      </w:r>
    </w:p>
    <w:p>
      <w:pPr>
        <w:pStyle w:val="TextBody"/>
        <w:bidi w:val="0"/>
        <w:spacing w:lineRule="auto" w:line="288" w:before="0" w:after="18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Relates to backbone transportation service energy-related commodity contracts at El Segundo and Walnut Creek.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 Long-term Debt</w:t>
      </w:r>
    </w:p>
    <w:p>
      <w:pPr>
        <w:pStyle w:val="TextBody"/>
        <w:bidi w:val="0"/>
        <w:spacing w:lineRule="auto" w:line="288" w:before="0" w:after="60"/>
        <w:ind w:left="0" w:right="0" w:firstLine="450"/>
        <w:jc w:val="both"/>
        <w:rPr/>
      </w:pPr>
      <w:r>
        <w:rPr>
          <w:rFonts w:ascii="Times New Roman;serif" w:hAnsi="Times New Roman;serif"/>
          <w:b w:val="false"/>
          <w:color w:val="000000"/>
          <w:sz w:val="20"/>
        </w:rPr>
        <w:t xml:space="preserve">This note should be read in conjunction with the complete description under Item 15 — Note 10,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to the consolidated financial statements included in the Company’s 2025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699"/>
        <w:gridCol w:w="1269"/>
        <w:gridCol w:w="1283"/>
        <w:gridCol w:w="109"/>
        <w:gridCol w:w="109"/>
        <w:gridCol w:w="109"/>
        <w:gridCol w:w="327"/>
        <w:gridCol w:w="327"/>
        <w:gridCol w:w="328"/>
        <w:gridCol w:w="109"/>
        <w:gridCol w:w="109"/>
        <w:gridCol w:w="109"/>
        <w:gridCol w:w="229"/>
        <w:gridCol w:w="651"/>
        <w:gridCol w:w="127"/>
        <w:gridCol w:w="109"/>
        <w:gridCol w:w="109"/>
        <w:gridCol w:w="109"/>
        <w:gridCol w:w="277"/>
        <w:gridCol w:w="787"/>
        <w:gridCol w:w="154"/>
        <w:gridCol w:w="109"/>
        <w:gridCol w:w="109"/>
        <w:gridCol w:w="109"/>
        <w:gridCol w:w="390"/>
        <w:gridCol w:w="390"/>
        <w:gridCol w:w="391"/>
        <w:gridCol w:w="109"/>
        <w:gridCol w:w="159"/>
      </w:tblGrid>
      <w:tr>
        <w:trPr/>
        <w:tc>
          <w:tcPr>
            <w:tcW w:w="169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color w:val="000000"/>
              </w:rPr>
              <w:t xml:space="preserve"> </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3.750% - 5.750%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Clearway Energy LLC and Clearway Energy Operating LLC Revolving Credit Facility </w:t>
            </w: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2"/>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S+1.750%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Non-recourse facility-level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2.339% - 8.000%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S+1.375% - 2.750%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premiums </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As of June 30, 2026, S+ equals SOFR plus x%.</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Applicable rate is determined by the borrower leverage ratio, as defined in the credit agreement.</w:t>
      </w:r>
      <w:r>
        <w:rPr>
          <w:color w:val="000000"/>
        </w:rPr>
        <w:t xml:space="preserve"> </w:t>
      </w:r>
    </w:p>
    <w:p>
      <w:pPr>
        <w:pStyle w:val="TextBody"/>
        <w:bidi w:val="0"/>
        <w:spacing w:lineRule="auto" w:line="288" w:before="0" w:after="6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During July 2026, the Company borrowed an additional $45 million under the revolving credit facility and subsequently repaid $50 million. As of July 31, 2026, the Company had $55 million in outstanding borrowings under the revolving credit facility.</w:t>
      </w:r>
    </w:p>
    <w:p>
      <w:pPr>
        <w:pStyle w:val="TextBody"/>
        <w:bidi w:val="0"/>
        <w:spacing w:lineRule="auto" w:line="288" w:before="0" w:after="180"/>
        <w:jc w:val="both"/>
        <w:rPr/>
      </w:pPr>
      <w:r>
        <w:rPr>
          <w:rFonts w:ascii="Times New Roman;serif" w:hAnsi="Times New Roman;serif"/>
          <w:b w:val="false"/>
          <w:color w:val="000000"/>
          <w:sz w:val="12"/>
        </w:rPr>
        <w:t>(d)</w:t>
      </w:r>
      <w:r>
        <w:rPr>
          <w:color w:val="000000"/>
        </w:rPr>
        <w:t xml:space="preserve"> </w:t>
      </w:r>
      <w:r>
        <w:rPr>
          <w:rFonts w:ascii="Times New Roman;serif" w:hAnsi="Times New Roman;serif"/>
          <w:b w:val="false"/>
          <w:color w:val="000000"/>
          <w:sz w:val="16"/>
        </w:rPr>
        <w:t xml:space="preserve">Premiums relate to the 2028 Senior Notes and the debt assumed in the Cardinal Portfolio acquisition.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$1,340 million in letters of credit outstanding, $198 million of which is related to the Company’s revolving credit facility.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financing arrangements listed above contain certain covenants, including financial covenants that the Company is required to be in compliance with during the term of the respective arrangement. As of June 30, 2026, the Company was in compliance with all of the required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discussion below describes material changes to or additions of long-term debt for the six months ended June 30, 2026.</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2034 Senior Notes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Facility-level Debt</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Commodity Contract Restructuring Transactions</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the following restructuring activities related to certain long-term commodity contracts associated with its wind facilities. In connection with each restructuring, the Company entered into a new 15-year PPA with a commercial or investment-grade counterparty.</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Elbow Creek Restructuring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On June 25, 2026, the Company restructured its existing energy</w:t>
        <w:noBreakHyphen/>
        <w:t>related commodity contract associated with the Elbow Creek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$46 million</w:t>
      </w:r>
      <w:r>
        <w:rPr>
          <w:rFonts w:ascii="Times New Roman;serif" w:hAnsi="Times New Roman;serif"/>
          <w:b w:val="false"/>
          <w:color w:val="000000"/>
          <w:sz w:val="20"/>
          <w:shd w:fill="FFFFFF" w:val="clear"/>
        </w:rPr>
        <w:t xml:space="preserve">, as well as </w:t>
      </w:r>
      <w:r>
        <w:rPr>
          <w:rFonts w:ascii="Times New Roman;serif" w:hAnsi="Times New Roman;serif"/>
          <w:b w:val="false"/>
          <w:color w:val="000000"/>
          <w:sz w:val="20"/>
        </w:rPr>
        <w:t>$8 million</w:t>
      </w:r>
      <w:r>
        <w:rPr>
          <w:color w:val="000000"/>
          <w:shd w:fill="FFFFFF" w:val="clear"/>
        </w:rPr>
        <w:t xml:space="preserve"> </w:t>
      </w:r>
      <w:r>
        <w:rPr>
          <w:rFonts w:ascii="Times New Roman;serif" w:hAnsi="Times New Roman;serif"/>
          <w:b w:val="false"/>
          <w:color w:val="000000"/>
          <w:sz w:val="20"/>
          <w:shd w:fill="FFFFFF" w:val="clear"/>
        </w:rPr>
        <w:t>owed to the counterparty that was previously included in other non</w:t>
        <w:noBreakHyphen/>
        <w:t xml:space="preserve">current liabilities. The Company also paid </w:t>
      </w:r>
      <w:r>
        <w:rPr>
          <w:rFonts w:ascii="Times New Roman;serif" w:hAnsi="Times New Roman;serif"/>
          <w:b w:val="false"/>
          <w:color w:val="000000"/>
          <w:sz w:val="20"/>
        </w:rPr>
        <w:t xml:space="preserve">$20 million, which was used </w:t>
      </w:r>
      <w:r>
        <w:rPr>
          <w:rFonts w:ascii="Times New Roman;serif" w:hAnsi="Times New Roman;serif"/>
          <w:b w:val="false"/>
          <w:color w:val="000000"/>
          <w:sz w:val="20"/>
          <w:shd w:fill="FFFFFF" w:val="clear"/>
        </w:rPr>
        <w:t xml:space="preserve">to settle the non-current liability and partially settle the outstanding derivative liability, resulting in a term financing obligation with an initial carrying amount of </w:t>
      </w:r>
      <w:r>
        <w:rPr>
          <w:rFonts w:ascii="Times New Roman;serif" w:hAnsi="Times New Roman;serif"/>
          <w:b w:val="false"/>
          <w:color w:val="000000"/>
          <w:sz w:val="20"/>
        </w:rPr>
        <w:t xml:space="preserve">$34 million. </w:t>
      </w:r>
      <w:r>
        <w:rPr>
          <w:rFonts w:ascii="Times New Roman;serif" w:hAnsi="Times New Roman;serif"/>
          <w:b w:val="false"/>
          <w:color w:val="000000"/>
          <w:sz w:val="20"/>
          <w:shd w:fill="FFFFFF" w:val="clear"/>
        </w:rPr>
        <w:t xml:space="preserve">The financing obligation is repaid through fixed monthly payments beginning in </w:t>
      </w:r>
      <w:r>
        <w:rPr>
          <w:rFonts w:ascii="Times New Roman;serif" w:hAnsi="Times New Roman;serif"/>
          <w:b w:val="false"/>
          <w:color w:val="000000"/>
          <w:sz w:val="20"/>
        </w:rPr>
        <w:t xml:space="preserve">July 2026 and matures on October 31, 2032.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5.493%</w:t>
      </w:r>
      <w:r>
        <w:rPr>
          <w:rFonts w:ascii="Times New Roman;serif" w:hAnsi="Times New Roman;serif"/>
          <w:b w:val="false"/>
          <w:color w:val="000000"/>
          <w:sz w:val="20"/>
          <w:shd w:fill="FFFFFF" w:val="clear"/>
        </w:rPr>
        <w:t>. Interest expense is recognized over the term of the obligation using the effective interest method.</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Langford Restructuring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On June 10, 2026, the Company restructured its existing energy</w:t>
        <w:noBreakHyphen/>
        <w:t>related commodity contract associated with the Langford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$62 million</w:t>
      </w:r>
      <w:r>
        <w:rPr>
          <w:color w:val="000000"/>
          <w:shd w:fill="FFFFFF" w:val="clear"/>
        </w:rPr>
        <w:t xml:space="preserve"> </w:t>
      </w:r>
      <w:r>
        <w:rPr>
          <w:rFonts w:ascii="Times New Roman;serif" w:hAnsi="Times New Roman;serif"/>
          <w:b w:val="false"/>
          <w:color w:val="000000"/>
          <w:sz w:val="20"/>
          <w:shd w:fill="FFFFFF" w:val="clear"/>
        </w:rPr>
        <w:t xml:space="preserve">and recognized a term financing obligation with an initial carrying amount of </w:t>
      </w:r>
      <w:r>
        <w:rPr>
          <w:rFonts w:ascii="Times New Roman;serif" w:hAnsi="Times New Roman;serif"/>
          <w:b w:val="false"/>
          <w:color w:val="000000"/>
          <w:sz w:val="20"/>
        </w:rPr>
        <w:t>$62 million</w:t>
      </w:r>
      <w:r>
        <w:rPr>
          <w:rFonts w:ascii="Times New Roman;serif" w:hAnsi="Times New Roman;serif"/>
          <w:b w:val="false"/>
          <w:color w:val="000000"/>
          <w:sz w:val="20"/>
          <w:shd w:fill="FFFFFF" w:val="clear"/>
        </w:rPr>
        <w:t xml:space="preserve">. The financing obligation is repaid through fixed monthly payments beginning in </w:t>
      </w:r>
      <w:r>
        <w:rPr>
          <w:rFonts w:ascii="Times New Roman;serif" w:hAnsi="Times New Roman;serif"/>
          <w:b w:val="false"/>
          <w:color w:val="000000"/>
          <w:sz w:val="20"/>
        </w:rPr>
        <w:t xml:space="preserve">July 2026 and matures on June 30, 2033.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$75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5.749%</w:t>
      </w:r>
      <w:r>
        <w:rPr>
          <w:rFonts w:ascii="Times New Roman;serif" w:hAnsi="Times New Roman;serif"/>
          <w:b w:val="false"/>
          <w:color w:val="000000"/>
          <w:sz w:val="20"/>
          <w:shd w:fill="FFFFFF" w:val="clear"/>
        </w:rPr>
        <w:t>. Interest expense is recognized over the term of the obligation using the effective interest method.</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Mesquite Sky Restructuring</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w:t>
        <w:noBreakHyphen/>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noBreakHyphen/>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 Interest expense is recognized over the term of the obligation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Third-Party Acquisition</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Cardinal Portfolio</w:t>
      </w:r>
    </w:p>
    <w:p>
      <w:pPr>
        <w:pStyle w:val="TextBody"/>
        <w:bidi w:val="0"/>
        <w:spacing w:lineRule="auto" w:line="288" w:before="0" w:after="180"/>
        <w:ind w:left="0" w:right="0" w:firstLine="450"/>
        <w:jc w:val="both"/>
        <w:rPr/>
      </w:pPr>
      <w:r>
        <w:rPr>
          <w:rFonts w:ascii="Times New Roman;serif" w:hAnsi="Times New Roman;serif"/>
          <w:b w:val="false"/>
          <w:color w:val="000000"/>
          <w:sz w:val="20"/>
        </w:rPr>
        <w:t>On February 5, 2026, the Company, through its indirect subsidiary, Cardinal Investment Holdco LLC, entered into a financing arrangement that provides for a term loan of up to $100 million and $119 million in letters of credit in support of debt service and facility-level obligations. On March 30, 2026,</w:t>
      </w:r>
      <w:r>
        <w:rPr>
          <w:color w:val="000000"/>
        </w:rPr>
        <w:t xml:space="preserve"> </w:t>
      </w:r>
      <w:r>
        <w:rPr>
          <w:rFonts w:ascii="Times New Roman;serif" w:hAnsi="Times New Roman;serif"/>
          <w:b w:val="false"/>
          <w:color w:val="000000"/>
          <w:sz w:val="20"/>
        </w:rPr>
        <w:t xml:space="preserve">the Company borrowed $100 million to partially fund the acquisition of the Cardinal Portfolio, as further described in Note 3, </w:t>
      </w:r>
      <w:r>
        <w:rPr>
          <w:rFonts w:ascii="Times New Roman;serif" w:hAnsi="Times New Roman;serif"/>
          <w:b w:val="false"/>
          <w:i/>
          <w:color w:val="000000"/>
          <w:sz w:val="20"/>
        </w:rPr>
        <w:t>Acquisitions</w:t>
      </w:r>
      <w:r>
        <w:rPr>
          <w:rFonts w:ascii="Times New Roman;serif" w:hAnsi="Times New Roman;serif"/>
          <w:b w:val="false"/>
          <w:color w:val="000000"/>
          <w:sz w:val="20"/>
        </w:rPr>
        <w:t>. The financing is supported by the Company’s interest in the Cardinal Portfolio. The term loan bears interest at a rate of SOFR plus 2.00% per annum and matures on March 29, 2027.</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connection with the acquisition of the Cardinal Portfolio on March 30, 2026, as further described in Note 3, </w:t>
      </w:r>
      <w:r>
        <w:rPr>
          <w:rFonts w:ascii="Times New Roman;serif" w:hAnsi="Times New Roman;serif"/>
          <w:b w:val="false"/>
          <w:i/>
          <w:color w:val="000000"/>
          <w:sz w:val="20"/>
        </w:rPr>
        <w:t>Acquisitions</w:t>
      </w:r>
      <w:r>
        <w:rPr>
          <w:rFonts w:ascii="Times New Roman;serif" w:hAnsi="Times New Roman;serif"/>
          <w:b w:val="false"/>
          <w:color w:val="000000"/>
          <w:sz w:val="20"/>
        </w:rPr>
        <w:t>, the Company assumed existing facility</w:t>
        <w:noBreakHyphen/>
        <w:t>level debt associated with certain of the acquired facilities. The assumed debt is secured by the respective facilities and is non</w:t>
        <w:noBreakHyphen/>
        <w:t>recourse to the Company. In accordance with ASC 805, the assumed debt was recorded at its estimated fair value as of the acquisition date. On April 27, 2026, the Company made an early partial repayment of $17 million of the assumed facility-level debt. The assumed facility</w:t>
        <w:noBreakHyphen/>
        <w:t>level debt has maturities ranging from 2032 through 2036.</w:t>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Drop Down Transactions</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Honeycomb Portfolio</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 2026, when the Honeycomb Portfolio BESS facilities reached substantial completion, the Company paid $81 million to Clearway Renew as additional purchase price in connection with the Company’s acquisition of Honeycomb TargetCo LLC, or Honeycomb TargetCo, from Clearway Renew, which occurred on October 15, 2025. The Company’s additional purchase price was funded with existing sources of liquidity. The Company’s entire additional purchase price was recorded as an adjustment to CEG’s noncontrolling interest balance. The Company’s total capital investment in Honeycomb TargetCo was $97 million. Also, on May 1, 2026, the tax equity investor in Honeycomb TE Holdco LLC contributed an additional $254 million, which was utilized along with the $60 million previously held in escrow, to repay the $234 million tax equity bridge loan and to pay $13 million in associated fees with the remaining $67 million distributed to CEG. Prior to substantial completion being reached, the Company borrowed an additional $71 million in construction loans during 2026, and on May 1, 2026, the total outstanding construction loans were converted to a term loan in the amount of $327 million that matures on May 1, 2031.</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Goat Mountain Repowering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 xml:space="preserve">Goat Mountain Class B Holdco LLC and Goat Wind LLC, as co-borrowers, entered into a financing arrangement for non-recourse debt for a total commitment of $703 million, which consists of a construction loan that converts to a five-year term loan upon the repowering of the facility reaching substantial completion, which is expected to occur in the second half of 2027, as well as bridge loans to be repaid with the proceeds from the tax equity investor. The construction loan and bridge loans bear interest at a rate of SOFR plus 1.50% and mature on the term conversion date. The Company’s initial borrowing of $140 million was utilized to pay $88 million under the development services agreement, as further described in Note 12,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$15 million in debt issuance costs that were deferred and $5 million in capital expenditures. Under the financing arrangement, the Company borrowed $231 million through June 30, 2026.</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Pine Forest</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January 15, 2026, the Company repaid the $231 million outstanding on the tax credit transfer bridge loan utilizing the proceeds received from the sale of transferable ITCs, as further described in Note 11, </w:t>
      </w:r>
      <w:r>
        <w:rPr>
          <w:rFonts w:ascii="Times New Roman;serif" w:hAnsi="Times New Roman;serif"/>
          <w:b w:val="false"/>
          <w:i/>
          <w:color w:val="000000"/>
          <w:sz w:val="20"/>
        </w:rPr>
        <w:t>Income Taxes</w:t>
      </w:r>
      <w:r>
        <w:rPr>
          <w:rFonts w:ascii="Times New Roman;serif" w:hAnsi="Times New Roman;serif"/>
          <w:b w:val="false"/>
          <w:color w:val="000000"/>
          <w:sz w:val="20"/>
        </w:rPr>
        <w:t>, and distributed the remaining $51 million to CEG.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Earnings (Loss) Per Share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(loss) per common share is computed by dividing net income (loss) by the weighted average number of common shares outstanding. Shares issued during the year are weighted for the portion of the year that they were outstanding. Diluted earnings (loss) per share is computed in a manner consistent with that of basic earnings (loss) per share while giving effect to all potentially dilutive common shares that were outstanding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basic and diluted earnings (loss) per share is presented in the following tables, including revisions to previously reported amounts:</w:t>
      </w:r>
    </w:p>
    <w:tbl>
      <w:tblPr>
        <w:tblW w:w="10205" w:type="dxa"/>
        <w:jc w:val="left"/>
        <w:tblInd w:w="0" w:type="dxa"/>
        <w:tblLayout w:type="fixed"/>
        <w:tblCellMar>
          <w:top w:w="28" w:type="dxa"/>
          <w:left w:w="28" w:type="dxa"/>
          <w:bottom w:w="28" w:type="dxa"/>
          <w:right w:w="28" w:type="dxa"/>
        </w:tblCellMar>
      </w:tblPr>
      <w:tblGrid>
        <w:gridCol w:w="1767"/>
        <w:gridCol w:w="1315"/>
        <w:gridCol w:w="1326"/>
        <w:gridCol w:w="109"/>
        <w:gridCol w:w="109"/>
        <w:gridCol w:w="109"/>
        <w:gridCol w:w="284"/>
        <w:gridCol w:w="690"/>
        <w:gridCol w:w="146"/>
        <w:gridCol w:w="123"/>
        <w:gridCol w:w="123"/>
        <w:gridCol w:w="123"/>
        <w:gridCol w:w="266"/>
        <w:gridCol w:w="646"/>
        <w:gridCol w:w="137"/>
        <w:gridCol w:w="109"/>
        <w:gridCol w:w="109"/>
        <w:gridCol w:w="109"/>
        <w:gridCol w:w="271"/>
        <w:gridCol w:w="719"/>
        <w:gridCol w:w="139"/>
        <w:gridCol w:w="114"/>
        <w:gridCol w:w="114"/>
        <w:gridCol w:w="114"/>
        <w:gridCol w:w="256"/>
        <w:gridCol w:w="679"/>
        <w:gridCol w:w="199"/>
      </w:tblGrid>
      <w:tr>
        <w:trPr/>
        <w:tc>
          <w:tcPr>
            <w:tcW w:w="176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(In millions, except per share data)</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Class A </w:t>
            </w:r>
            <w:r>
              <w:rPr>
                <w:rFonts w:ascii="Times New Roman;serif" w:hAnsi="Times New Roman;serif"/>
                <w:b/>
                <w:color w:val="000000"/>
                <w:sz w:val="10"/>
              </w:rPr>
              <w:t>(b)</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Class A </w:t>
            </w:r>
            <w:r>
              <w:rPr>
                <w:rFonts w:ascii="Times New Roman;serif" w:hAnsi="Times New Roman;serif"/>
                <w:b/>
                <w:color w:val="000000"/>
                <w:sz w:val="10"/>
              </w:rPr>
              <w:t>(b)</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xml:space="preserve">Common Class C </w:t>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(loss) per share attributable to Clearway Energy,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Clearway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weighted average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Net income (loss) attributable to Clearway Energy, Inc. and basic and diluted earnings (loss) per share might not recalculate due to presenting amounts in millions rather than whole dollars.</w:t>
      </w:r>
    </w:p>
    <w:p>
      <w:pPr>
        <w:pStyle w:val="TextBody"/>
        <w:bidi w:val="0"/>
        <w:spacing w:lineRule="auto" w:line="288" w:before="0" w:after="180"/>
        <w:jc w:val="both"/>
        <w:rPr/>
      </w:pPr>
      <w:r>
        <w:rPr>
          <w:rFonts w:ascii="Times New Roman;serif" w:hAnsi="Times New Roman;serif"/>
          <w:b w:val="false"/>
          <w:color w:val="000000"/>
          <w:sz w:val="12"/>
        </w:rPr>
        <w:t xml:space="preserve">(b) </w:t>
      </w:r>
      <w:r>
        <w:rPr>
          <w:rFonts w:ascii="Times New Roman;serif" w:hAnsi="Times New Roman;serif"/>
          <w:b w:val="false"/>
          <w:color w:val="000000"/>
          <w:sz w:val="16"/>
        </w:rPr>
        <w:t xml:space="preserve">As of May 1, 2026, each share of the Company’s Class A common stock converted into one share of Class C common stock, as further described in Note 9, </w:t>
      </w:r>
      <w:r>
        <w:rPr>
          <w:rFonts w:ascii="Times New Roman;serif" w:hAnsi="Times New Roman;serif"/>
          <w:b w:val="false"/>
          <w:i/>
          <w:color w:val="000000"/>
          <w:sz w:val="16"/>
        </w:rPr>
        <w:t>Changes in Capital Structure</w:t>
      </w:r>
      <w:r>
        <w:rPr>
          <w:rFonts w:ascii="Times New Roman;serif" w:hAnsi="Times New Roman;serif"/>
          <w:b w:val="false"/>
          <w:color w:val="000000"/>
          <w:sz w:val="16"/>
        </w:rPr>
        <w:t>.</w:t>
      </w:r>
    </w:p>
    <w:tbl>
      <w:tblPr>
        <w:tblW w:w="10205" w:type="dxa"/>
        <w:jc w:val="left"/>
        <w:tblInd w:w="0" w:type="dxa"/>
        <w:tblLayout w:type="fixed"/>
        <w:tblCellMar>
          <w:top w:w="28" w:type="dxa"/>
          <w:left w:w="28" w:type="dxa"/>
          <w:bottom w:w="28" w:type="dxa"/>
          <w:right w:w="28" w:type="dxa"/>
        </w:tblCellMar>
      </w:tblPr>
      <w:tblGrid>
        <w:gridCol w:w="1172"/>
        <w:gridCol w:w="699"/>
        <w:gridCol w:w="706"/>
        <w:gridCol w:w="109"/>
        <w:gridCol w:w="109"/>
        <w:gridCol w:w="109"/>
        <w:gridCol w:w="236"/>
        <w:gridCol w:w="573"/>
        <w:gridCol w:w="122"/>
        <w:gridCol w:w="109"/>
        <w:gridCol w:w="109"/>
        <w:gridCol w:w="109"/>
        <w:gridCol w:w="236"/>
        <w:gridCol w:w="573"/>
        <w:gridCol w:w="122"/>
        <w:gridCol w:w="109"/>
        <w:gridCol w:w="109"/>
        <w:gridCol w:w="109"/>
        <w:gridCol w:w="231"/>
        <w:gridCol w:w="593"/>
        <w:gridCol w:w="119"/>
        <w:gridCol w:w="109"/>
        <w:gridCol w:w="109"/>
        <w:gridCol w:w="109"/>
        <w:gridCol w:w="231"/>
        <w:gridCol w:w="593"/>
        <w:gridCol w:w="119"/>
        <w:gridCol w:w="109"/>
        <w:gridCol w:w="109"/>
        <w:gridCol w:w="109"/>
        <w:gridCol w:w="236"/>
        <w:gridCol w:w="573"/>
        <w:gridCol w:w="122"/>
        <w:gridCol w:w="109"/>
        <w:gridCol w:w="109"/>
        <w:gridCol w:w="109"/>
        <w:gridCol w:w="235"/>
        <w:gridCol w:w="570"/>
        <w:gridCol w:w="182"/>
      </w:tblGrid>
      <w:tr>
        <w:trPr/>
        <w:tc>
          <w:tcPr>
            <w:tcW w:w="117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5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(In millions, except per share data)</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Common Class C</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per share attributable to Clearway Energy,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weighted average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Net income attributable to Clearway Energy, Inc. and basic and diluted earnings per share might not recalculate due to presenting amounts in millions rather than whole dollars.</w:t>
      </w:r>
    </w:p>
    <w:tbl>
      <w:tblPr>
        <w:tblW w:w="10205" w:type="dxa"/>
        <w:jc w:val="left"/>
        <w:tblInd w:w="0" w:type="dxa"/>
        <w:tblLayout w:type="fixed"/>
        <w:tblCellMar>
          <w:top w:w="28" w:type="dxa"/>
          <w:left w:w="28" w:type="dxa"/>
          <w:bottom w:w="28" w:type="dxa"/>
          <w:right w:w="28" w:type="dxa"/>
        </w:tblCellMar>
      </w:tblPr>
      <w:tblGrid>
        <w:gridCol w:w="1172"/>
        <w:gridCol w:w="699"/>
        <w:gridCol w:w="706"/>
        <w:gridCol w:w="109"/>
        <w:gridCol w:w="109"/>
        <w:gridCol w:w="109"/>
        <w:gridCol w:w="236"/>
        <w:gridCol w:w="573"/>
        <w:gridCol w:w="122"/>
        <w:gridCol w:w="109"/>
        <w:gridCol w:w="109"/>
        <w:gridCol w:w="109"/>
        <w:gridCol w:w="236"/>
        <w:gridCol w:w="573"/>
        <w:gridCol w:w="122"/>
        <w:gridCol w:w="109"/>
        <w:gridCol w:w="109"/>
        <w:gridCol w:w="109"/>
        <w:gridCol w:w="231"/>
        <w:gridCol w:w="593"/>
        <w:gridCol w:w="119"/>
        <w:gridCol w:w="109"/>
        <w:gridCol w:w="109"/>
        <w:gridCol w:w="109"/>
        <w:gridCol w:w="231"/>
        <w:gridCol w:w="593"/>
        <w:gridCol w:w="119"/>
        <w:gridCol w:w="109"/>
        <w:gridCol w:w="109"/>
        <w:gridCol w:w="109"/>
        <w:gridCol w:w="236"/>
        <w:gridCol w:w="573"/>
        <w:gridCol w:w="122"/>
        <w:gridCol w:w="109"/>
        <w:gridCol w:w="109"/>
        <w:gridCol w:w="109"/>
        <w:gridCol w:w="235"/>
        <w:gridCol w:w="570"/>
        <w:gridCol w:w="182"/>
      </w:tblGrid>
      <w:tr>
        <w:trPr/>
        <w:tc>
          <w:tcPr>
            <w:tcW w:w="117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5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(In millions, except per share data)</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Common Class C</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per share attributable to Clearway Energy,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weighted average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Net income attributable to Clearway Energy, Inc. and basic and diluted earnings per share might not recalculate due to presenting amounts in millions rather than whole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9 — </w:t>
      </w:r>
      <w:r>
        <w:rPr>
          <w:rFonts w:ascii="Times New Roman;serif" w:hAnsi="Times New Roman;serif"/>
          <w:b/>
          <w:i/>
          <w:color w:val="000000"/>
          <w:sz w:val="20"/>
        </w:rPr>
        <w:t xml:space="preserve">Changes in Capital Structure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Class A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29, 2026, at the Company’s Annual Meeting of Stockholders, the Company’s stockholders approved the Amended Charter, pursuant to which each outstanding share of the Company’s Class A common stock was converted into one share of the Company’s Class C common stock, effective May 1, 2026, referred to as the Class A Conversion. As a result of the Class A Conversion, the Company no longer has any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Class A Conversion, on April 29, 2026, CEG entered into a voting trust agreement, or the Voting Trust Agreement, with Wilmington Trust, National Association, as the voting trustee thereunder, or the Voting Trustee, pursuant to which CEG deposited into a voting trust 41,678,637 shares of Class B common stock, or the Voting Trust Shares. The Voting Trust Shares were deposited to maintain CEG’s relative voting power in the Company immediately following the Class A Conversion at the level immediately prior thereto. Under the Voting Trust Agreement, the Voting Trustee is required to vote the Voting Trust Shares on any stockholder matter in the same proportion as the votes cast by all Company stockholders. As of June 30, 2026, 41,678,637 shares of Class B common stock were held in the voting trust and subject to the terms of the Voting Trust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Neither the Amended Charter nor the Class A Conversion affected the economic interests of the Company’s stockholders, including dividend and liquidation rights. Following the Class A Conversion, holders of the Company’s former Class A common stock converted into Class C common stock remain entitled to receive dividends, if declared by the Company, on the same basis as prior to the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Class A Conversion, the Company’s Class A common stock, which previously traded on the NYSE under the symbol “CWEN.A”, was delisted. The Company’s Class C common stock continues to trade on the NYSE under the symbol “CWEN.”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concurrently with the Class A Conversion, each outstanding Class A unit of Clearway Energy LLC was converted into one Class C unit of Clearway Energy LLC.</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Direct Stock Purchase Plan, or DSPP</w:t>
      </w:r>
    </w:p>
    <w:p>
      <w:pPr>
        <w:pStyle w:val="TextBody"/>
        <w:bidi w:val="0"/>
        <w:spacing w:lineRule="auto" w:line="288" w:before="0" w:after="180"/>
        <w:ind w:left="0" w:right="0" w:firstLine="450"/>
        <w:jc w:val="both"/>
        <w:rPr/>
      </w:pPr>
      <w:r>
        <w:rPr>
          <w:rFonts w:ascii="Times New Roman;serif" w:hAnsi="Times New Roman;serif"/>
          <w:b w:val="false"/>
          <w:color w:val="231F20"/>
          <w:sz w:val="20"/>
        </w:rPr>
        <w:t>As previously disclosed in the Company’s Annual Report on Form 10</w:t>
        <w:noBreakHyphen/>
        <w:t xml:space="preserve">K for the year ended </w:t>
      </w:r>
      <w:r>
        <w:rPr>
          <w:rFonts w:ascii="Times New Roman;serif" w:hAnsi="Times New Roman;serif"/>
          <w:b w:val="false"/>
          <w:color w:val="000000"/>
          <w:sz w:val="20"/>
        </w:rPr>
        <w:t>December 31, 2025</w:t>
      </w:r>
      <w:r>
        <w:rPr>
          <w:rFonts w:ascii="Times New Roman;serif" w:hAnsi="Times New Roman;serif"/>
          <w:b w:val="false"/>
          <w:color w:val="231F20"/>
          <w:sz w:val="20"/>
        </w:rPr>
        <w:t>, the Company maintains a DSPP, pursuant to which it may issue shares of its Class C common stock, including through waiver arrangements.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During January 2026, the Company issued 1,445,244 shares of Class C common stock under the DSPP for gross proceeds of $50 million and incurred fees of less than $1 million, which were exchanged for 1,445,244 Class C units of Clearway Energy LLC. As of </w:t>
      </w:r>
      <w:r>
        <w:rPr>
          <w:rFonts w:ascii="Times New Roman;serif" w:hAnsi="Times New Roman;serif"/>
          <w:b w:val="false"/>
          <w:color w:val="000000"/>
          <w:sz w:val="20"/>
        </w:rPr>
        <w:t>June 30, 2026</w:t>
      </w:r>
      <w:r>
        <w:rPr>
          <w:rFonts w:ascii="Times New Roman;serif" w:hAnsi="Times New Roman;serif"/>
          <w:b w:val="false"/>
          <w:color w:val="231F20"/>
          <w:sz w:val="20"/>
        </w:rPr>
        <w:t>, 1,061,554 shares of Class C common stock remained available for issuance under the DSPP.</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Dividends to Class A and Class C Common Stockholders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dividends paid on the Company’s Class A and Class C common stock during the six months ended June 30, 2026:</w:t>
      </w:r>
    </w:p>
    <w:tbl>
      <w:tblPr>
        <w:tblW w:w="6576"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109"/>
        <w:gridCol w:w="109"/>
        <w:gridCol w:w="109"/>
        <w:gridCol w:w="484"/>
        <w:gridCol w:w="931"/>
        <w:gridCol w:w="250"/>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C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 A Conversion discussed above, the Company no longer has any Class A common stock outstanding, and holders of the Company’s former Class A common stock converted into Class C common stock remain entitled to receive dividends, if declared by the Company, on the same basis as prior to the conversion.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Dividends on the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declared quarterly dividends on its Class C common stock of $0.4750 per share payable on September 15, 2026 to stockholders of record as of September 1,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Distributions to CEG</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distributions paid to CEG during the six months ended June 30, 2026 on Clearway Energy LLC’s Class B and D units:</w:t>
      </w:r>
    </w:p>
    <w:tbl>
      <w:tblPr>
        <w:tblW w:w="6785" w:type="dxa"/>
        <w:jc w:val="left"/>
        <w:tblInd w:w="0" w:type="dxa"/>
        <w:tblLayout w:type="fixed"/>
        <w:tblCellMar>
          <w:top w:w="28" w:type="dxa"/>
          <w:left w:w="28" w:type="dxa"/>
          <w:bottom w:w="28" w:type="dxa"/>
          <w:right w:w="28" w:type="dxa"/>
        </w:tblCellMar>
      </w:tblPr>
      <w:tblGrid>
        <w:gridCol w:w="941"/>
        <w:gridCol w:w="825"/>
        <w:gridCol w:w="829"/>
        <w:gridCol w:w="109"/>
        <w:gridCol w:w="109"/>
        <w:gridCol w:w="109"/>
        <w:gridCol w:w="109"/>
        <w:gridCol w:w="109"/>
        <w:gridCol w:w="109"/>
        <w:gridCol w:w="337"/>
        <w:gridCol w:w="1153"/>
        <w:gridCol w:w="174"/>
        <w:gridCol w:w="109"/>
        <w:gridCol w:w="109"/>
        <w:gridCol w:w="109"/>
        <w:gridCol w:w="300"/>
        <w:gridCol w:w="1026"/>
        <w:gridCol w:w="219"/>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per Class B Unit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D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Clearway Energy LLC declared a distribution on its Class B and Class D units of $0.4750 per unit payable on September 15, 2026 to unit holders of record as of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rPr>
        <w:t xml:space="preserve">Note 10 — </w:t>
      </w:r>
      <w:r>
        <w:rPr>
          <w:rFonts w:ascii="Times New Roman;serif" w:hAnsi="Times New Roman;serif"/>
          <w:b/>
          <w:i/>
          <w:color w:val="000000"/>
          <w:sz w:val="20"/>
        </w:rPr>
        <w:t>Segment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tbl>
      <w:tblPr>
        <w:tblW w:w="10205" w:type="dxa"/>
        <w:jc w:val="center"/>
        <w:tblInd w:w="0" w:type="dxa"/>
        <w:tblLayout w:type="fixed"/>
        <w:tblCellMar>
          <w:top w:w="28" w:type="dxa"/>
          <w:left w:w="28" w:type="dxa"/>
          <w:bottom w:w="28" w:type="dxa"/>
          <w:right w:w="28" w:type="dxa"/>
        </w:tblCellMar>
      </w:tblPr>
      <w:tblGrid>
        <w:gridCol w:w="1925"/>
        <w:gridCol w:w="1478"/>
        <w:gridCol w:w="1454"/>
        <w:gridCol w:w="380"/>
        <w:gridCol w:w="651"/>
        <w:gridCol w:w="198"/>
        <w:gridCol w:w="109"/>
        <w:gridCol w:w="109"/>
        <w:gridCol w:w="109"/>
        <w:gridCol w:w="356"/>
        <w:gridCol w:w="788"/>
        <w:gridCol w:w="187"/>
        <w:gridCol w:w="109"/>
        <w:gridCol w:w="109"/>
        <w:gridCol w:w="109"/>
        <w:gridCol w:w="252"/>
        <w:gridCol w:w="588"/>
        <w:gridCol w:w="131"/>
        <w:gridCol w:w="109"/>
        <w:gridCol w:w="109"/>
        <w:gridCol w:w="109"/>
        <w:gridCol w:w="211"/>
        <w:gridCol w:w="466"/>
        <w:gridCol w:w="159"/>
      </w:tblGrid>
      <w:tr>
        <w:trPr/>
        <w:tc>
          <w:tcPr>
            <w:tcW w:w="192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30</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920"/>
        <w:gridCol w:w="1480"/>
        <w:gridCol w:w="1456"/>
        <w:gridCol w:w="356"/>
        <w:gridCol w:w="687"/>
        <w:gridCol w:w="186"/>
        <w:gridCol w:w="109"/>
        <w:gridCol w:w="109"/>
        <w:gridCol w:w="109"/>
        <w:gridCol w:w="356"/>
        <w:gridCol w:w="789"/>
        <w:gridCol w:w="187"/>
        <w:gridCol w:w="109"/>
        <w:gridCol w:w="109"/>
        <w:gridCol w:w="109"/>
        <w:gridCol w:w="282"/>
        <w:gridCol w:w="544"/>
        <w:gridCol w:w="146"/>
        <w:gridCol w:w="109"/>
        <w:gridCol w:w="109"/>
        <w:gridCol w:w="109"/>
        <w:gridCol w:w="211"/>
        <w:gridCol w:w="466"/>
        <w:gridCol w:w="158"/>
      </w:tblGrid>
      <w:tr>
        <w:trPr/>
        <w:tc>
          <w:tcPr>
            <w:tcW w:w="192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Three months ended June 30, 2025 (as revised)</w:t>
            </w:r>
            <w:r>
              <w:rPr>
                <w:color w:val="000000"/>
              </w:rPr>
              <w:t xml:space="preserve"> </w:t>
            </w:r>
            <w:r>
              <w:rPr>
                <w:rFonts w:ascii="Times New Roman;serif" w:hAnsi="Times New Roman;serif"/>
                <w:b/>
                <w:color w:val="000000"/>
                <w:sz w:val="12"/>
              </w:rPr>
              <w:t>(a)</w:t>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income taxes </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Clearway Energy, Inc.</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(c)</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The following table reconciles the revisions for the Renewables &amp; Storage and Corporate segments:</w:t>
      </w:r>
    </w:p>
    <w:tbl>
      <w:tblPr>
        <w:tblW w:w="8648" w:type="dxa"/>
        <w:jc w:val="left"/>
        <w:tblInd w:w="0" w:type="dxa"/>
        <w:tblLayout w:type="fixed"/>
        <w:tblCellMar>
          <w:top w:w="28" w:type="dxa"/>
          <w:left w:w="28" w:type="dxa"/>
          <w:bottom w:w="28" w:type="dxa"/>
          <w:right w:w="28" w:type="dxa"/>
        </w:tblCellMar>
      </w:tblPr>
      <w:tblGrid>
        <w:gridCol w:w="1536"/>
        <w:gridCol w:w="1349"/>
        <w:gridCol w:w="1360"/>
        <w:gridCol w:w="550"/>
        <w:gridCol w:w="979"/>
        <w:gridCol w:w="285"/>
        <w:gridCol w:w="109"/>
        <w:gridCol w:w="109"/>
        <w:gridCol w:w="109"/>
        <w:gridCol w:w="359"/>
        <w:gridCol w:w="461"/>
        <w:gridCol w:w="186"/>
        <w:gridCol w:w="109"/>
        <w:gridCol w:w="109"/>
        <w:gridCol w:w="109"/>
        <w:gridCol w:w="245"/>
        <w:gridCol w:w="506"/>
        <w:gridCol w:w="178"/>
      </w:tblGrid>
      <w:tr>
        <w:trPr/>
        <w:tc>
          <w:tcPr>
            <w:tcW w:w="15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Inc.</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Segment:</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Clearway Energy, Inc.</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2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31</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836"/>
        <w:gridCol w:w="1386"/>
        <w:gridCol w:w="1359"/>
        <w:gridCol w:w="277"/>
        <w:gridCol w:w="811"/>
        <w:gridCol w:w="143"/>
        <w:gridCol w:w="109"/>
        <w:gridCol w:w="109"/>
        <w:gridCol w:w="109"/>
        <w:gridCol w:w="274"/>
        <w:gridCol w:w="940"/>
        <w:gridCol w:w="142"/>
        <w:gridCol w:w="109"/>
        <w:gridCol w:w="109"/>
        <w:gridCol w:w="109"/>
        <w:gridCol w:w="251"/>
        <w:gridCol w:w="583"/>
        <w:gridCol w:w="130"/>
        <w:gridCol w:w="109"/>
        <w:gridCol w:w="109"/>
        <w:gridCol w:w="109"/>
        <w:gridCol w:w="211"/>
        <w:gridCol w:w="721"/>
        <w:gridCol w:w="160"/>
      </w:tblGrid>
      <w:tr>
        <w:trPr/>
        <w:tc>
          <w:tcPr>
            <w:tcW w:w="183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Flexible Generation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left"/>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32</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845"/>
        <w:gridCol w:w="1393"/>
        <w:gridCol w:w="1366"/>
        <w:gridCol w:w="272"/>
        <w:gridCol w:w="797"/>
        <w:gridCol w:w="141"/>
        <w:gridCol w:w="109"/>
        <w:gridCol w:w="109"/>
        <w:gridCol w:w="109"/>
        <w:gridCol w:w="274"/>
        <w:gridCol w:w="939"/>
        <w:gridCol w:w="141"/>
        <w:gridCol w:w="109"/>
        <w:gridCol w:w="109"/>
        <w:gridCol w:w="109"/>
        <w:gridCol w:w="251"/>
        <w:gridCol w:w="583"/>
        <w:gridCol w:w="130"/>
        <w:gridCol w:w="109"/>
        <w:gridCol w:w="109"/>
        <w:gridCol w:w="109"/>
        <w:gridCol w:w="211"/>
        <w:gridCol w:w="721"/>
        <w:gridCol w:w="160"/>
      </w:tblGrid>
      <w:tr>
        <w:trPr/>
        <w:tc>
          <w:tcPr>
            <w:tcW w:w="184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Six months ended June 30, 2025 (as revised)</w:t>
            </w:r>
            <w:r>
              <w:rPr>
                <w:color w:val="000000"/>
              </w:rPr>
              <w:t xml:space="preserve"> </w:t>
            </w:r>
            <w:r>
              <w:rPr>
                <w:rFonts w:ascii="Times New Roman;serif" w:hAnsi="Times New Roman;serif"/>
                <w:b/>
                <w:color w:val="000000"/>
                <w:sz w:val="12"/>
              </w:rPr>
              <w:t>(a)</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Clearway Energy, Inc.</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(c)</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The following table reconciles the revisions for the Renewables &amp; Storage and Corporate segments:</w:t>
      </w:r>
    </w:p>
    <w:tbl>
      <w:tblPr>
        <w:tblW w:w="8649" w:type="dxa"/>
        <w:jc w:val="left"/>
        <w:tblInd w:w="0" w:type="dxa"/>
        <w:tblLayout w:type="fixed"/>
        <w:tblCellMar>
          <w:top w:w="28" w:type="dxa"/>
          <w:left w:w="28" w:type="dxa"/>
          <w:bottom w:w="28" w:type="dxa"/>
          <w:right w:w="28" w:type="dxa"/>
        </w:tblCellMar>
      </w:tblPr>
      <w:tblGrid>
        <w:gridCol w:w="1536"/>
        <w:gridCol w:w="1349"/>
        <w:gridCol w:w="1360"/>
        <w:gridCol w:w="467"/>
        <w:gridCol w:w="1105"/>
        <w:gridCol w:w="243"/>
        <w:gridCol w:w="109"/>
        <w:gridCol w:w="109"/>
        <w:gridCol w:w="109"/>
        <w:gridCol w:w="311"/>
        <w:gridCol w:w="533"/>
        <w:gridCol w:w="162"/>
        <w:gridCol w:w="109"/>
        <w:gridCol w:w="109"/>
        <w:gridCol w:w="109"/>
        <w:gridCol w:w="216"/>
        <w:gridCol w:w="555"/>
        <w:gridCol w:w="158"/>
      </w:tblGrid>
      <w:tr>
        <w:trPr/>
        <w:tc>
          <w:tcPr>
            <w:tcW w:w="15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Inc.</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Segment:</w:t>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Clearway Energy, Inc.</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8"/>
        </w:rPr>
        <w:t>Includes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income tax provision consisted of the following amounts:</w:t>
      </w:r>
    </w:p>
    <w:tbl>
      <w:tblPr>
        <w:tblW w:w="7618" w:type="dxa"/>
        <w:jc w:val="left"/>
        <w:tblInd w:w="0" w:type="dxa"/>
        <w:tblLayout w:type="fixed"/>
        <w:tblCellMar>
          <w:top w:w="28" w:type="dxa"/>
          <w:left w:w="28" w:type="dxa"/>
          <w:bottom w:w="28" w:type="dxa"/>
          <w:right w:w="28" w:type="dxa"/>
        </w:tblCellMar>
      </w:tblPr>
      <w:tblGrid>
        <w:gridCol w:w="1037"/>
        <w:gridCol w:w="910"/>
        <w:gridCol w:w="918"/>
        <w:gridCol w:w="232"/>
        <w:gridCol w:w="398"/>
        <w:gridCol w:w="299"/>
        <w:gridCol w:w="120"/>
        <w:gridCol w:w="120"/>
        <w:gridCol w:w="120"/>
        <w:gridCol w:w="232"/>
        <w:gridCol w:w="398"/>
        <w:gridCol w:w="299"/>
        <w:gridCol w:w="109"/>
        <w:gridCol w:w="109"/>
        <w:gridCol w:w="109"/>
        <w:gridCol w:w="211"/>
        <w:gridCol w:w="436"/>
        <w:gridCol w:w="271"/>
        <w:gridCol w:w="109"/>
        <w:gridCol w:w="109"/>
        <w:gridCol w:w="109"/>
        <w:gridCol w:w="211"/>
        <w:gridCol w:w="436"/>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tax purposes, Clearway Energy LLC is treated as a partnership; therefore, the Company and CEG each record their respective share of taxable income or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Tax Credits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January 2026, the Company received $282 million from the transfer of PTCs and ITCs, of which $279 million related to the Pine Forest facility and was primarily used to repay the $231 million outstanding on the tax credit transfer bridge loan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12 —</w:t>
      </w:r>
      <w:r>
        <w:rPr>
          <w:color w:val="000000"/>
        </w:rPr>
        <w:t xml:space="preserve"> </w:t>
      </w:r>
      <w:r>
        <w:rPr>
          <w:rFonts w:ascii="Times New Roman;serif" w:hAnsi="Times New Roman;serif"/>
          <w:b/>
          <w:color w:val="000000"/>
          <w:sz w:val="20"/>
        </w:rPr>
        <w:t>Related Party Transactions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This footnote should be read in conjunction with the complete description under Item 15 —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consolidated financial statements included in the Company’s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Goat Mountain Development Services Agreement with Clearway Renew</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Pursuant to the development services agreement entered into in July 2025, in connection with the closing of the Goat Mountain construction financing on February 27, 2026,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 the Company acquired assets totaling $106 million, consisting of $98 million for deposits related to the future delivery of equipment, which is included in other non-current assets on the Company’s consolidated balance sheet, and $8 million of capital expenditures. Of this amount, $70 million was paid to Clearway Renew on February 27, 2026, with the remaining $36 million paid to Clearway Renew in June 2026. Also on February 27, 2026, the Company paid Clearway Renew $18 million in fees under the development services agreement, which is included in the line item distributions to CEG, net of contributions, in the consolidated statements of stockholders’ equity. The Company estimates that its total capital investment in the Goat Mountain repowering will be $200 million, subject to closing adjustments.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O&amp;M Services Agreements by and between the Company and Clearway Renewable Operation &amp; Maintenance LLC</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$25 million and $20 million for the three months ended June 30, 2026 and 2025, respectively. The Company incurred total expenses for these services of $46 million and $41 million for the six months ended June 30, 2026 and 2025, respectively. Expenses for these services are included in cost of operations in the consolidated statements of operations. There was a balance of $15 million and $8 million due to RENOM as of June 30, 2026 and December 31,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total expenses for these services of $8 million and $6 million for the three months ended June 30, 2026 and 2025, respectively. The Company incurred expenses under these agreements of $14 million and $11 million for the six months ended June 30, 2026 and 2025, respectively. Expenses for these services are included in cost of operations in the consolidated statements of operations. There was a balance of $6 million and $3 million due to CEG as of June 30, 2026 and December 31,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CEG Master Services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such as human resources, information systems, cybersecurity, external affairs, legal, risk management, internal audit, accounting, procurement, tax and treasury services, in exchange for the payment of fees in respect of such services, which are settled on a quarterly basis. The Company also directly bears labor costs for certain CEG employees who perform work on behalf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expenses under the CEG Master Services Agreement of $6 million for each of the three months ended June 30, 2026 and 2025. The Company incurred expenses under the CEG Master Services Agreement of $13 million and $12 million for the six months ended June 30, 2026 and 2025, respectively. Expenses for these services are included in general and administrative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13 —</w:t>
      </w:r>
      <w:r>
        <w:rPr>
          <w:color w:val="000000"/>
        </w:rPr>
        <w:t xml:space="preserve"> </w:t>
      </w:r>
      <w:r>
        <w:rPr>
          <w:rFonts w:ascii="Times New Roman;serif" w:hAnsi="Times New Roman;serif"/>
          <w:b/>
          <w:color w:val="000000"/>
          <w:sz w:val="20"/>
        </w:rPr>
        <w:t>Revision of Previously Issued Unaudited Financial Information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discussed in Item 15 — Note 18, </w:t>
      </w:r>
      <w:r>
        <w:rPr>
          <w:rFonts w:ascii="Times New Roman;serif" w:hAnsi="Times New Roman;serif"/>
          <w:b w:val="false"/>
          <w:i/>
          <w:color w:val="000000"/>
          <w:sz w:val="20"/>
        </w:rPr>
        <w:t>Revision of Previously Issued Unaudited Financial Information (Unaudited)</w:t>
      </w:r>
      <w:r>
        <w:rPr>
          <w:rFonts w:ascii="Times New Roman;serif" w:hAnsi="Times New Roman;serif"/>
          <w:b w:val="false"/>
          <w:color w:val="000000"/>
          <w:sz w:val="20"/>
        </w:rPr>
        <w:t>, 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corrections to the impacted financial statement line items is presented below:</w:t>
      </w:r>
    </w:p>
    <w:tbl>
      <w:tblPr>
        <w:tblW w:w="10205" w:type="dxa"/>
        <w:jc w:val="left"/>
        <w:tblInd w:w="0" w:type="dxa"/>
        <w:tblLayout w:type="fixed"/>
        <w:tblCellMar>
          <w:top w:w="28" w:type="dxa"/>
          <w:left w:w="28" w:type="dxa"/>
          <w:bottom w:w="28" w:type="dxa"/>
          <w:right w:w="28" w:type="dxa"/>
        </w:tblCellMar>
      </w:tblPr>
      <w:tblGrid>
        <w:gridCol w:w="1377"/>
        <w:gridCol w:w="946"/>
        <w:gridCol w:w="955"/>
        <w:gridCol w:w="109"/>
        <w:gridCol w:w="109"/>
        <w:gridCol w:w="109"/>
        <w:gridCol w:w="288"/>
        <w:gridCol w:w="815"/>
        <w:gridCol w:w="158"/>
        <w:gridCol w:w="250"/>
        <w:gridCol w:w="615"/>
        <w:gridCol w:w="141"/>
        <w:gridCol w:w="198"/>
        <w:gridCol w:w="562"/>
        <w:gridCol w:w="109"/>
        <w:gridCol w:w="109"/>
        <w:gridCol w:w="109"/>
        <w:gridCol w:w="109"/>
        <w:gridCol w:w="320"/>
        <w:gridCol w:w="762"/>
        <w:gridCol w:w="179"/>
        <w:gridCol w:w="250"/>
        <w:gridCol w:w="615"/>
        <w:gridCol w:w="141"/>
        <w:gridCol w:w="203"/>
        <w:gridCol w:w="498"/>
        <w:gridCol w:w="169"/>
      </w:tblGrid>
      <w:tr>
        <w:trPr/>
        <w:tc>
          <w:tcPr>
            <w:tcW w:w="13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Clearway 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weighted average Class A and Class C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Clearway 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Consolidated Balance Sheet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in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Retained Earnings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Noncontrolling Interest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Earnings (Loss) Per Share</w:t>
      </w:r>
      <w:r>
        <w:rPr>
          <w:rFonts w:ascii="Times New Roman;serif" w:hAnsi="Times New Roman;serif"/>
          <w:b w:val="false"/>
          <w:color w:val="000000"/>
          <w:sz w:val="20"/>
        </w:rPr>
        <w:t xml:space="preserve">, and Note 10, </w:t>
      </w:r>
      <w:r>
        <w:rPr>
          <w:rFonts w:ascii="Times New Roman;serif" w:hAnsi="Times New Roman;serif"/>
          <w:b w:val="false"/>
          <w:i/>
          <w:color w:val="000000"/>
          <w:sz w:val="20"/>
        </w:rPr>
        <w:t>Segment Reporting</w:t>
      </w:r>
      <w:r>
        <w:rPr>
          <w:rFonts w:ascii="Times New Roman;serif" w:hAnsi="Times New Roman;serif"/>
          <w:b w:val="false"/>
          <w:color w:val="000000"/>
          <w:sz w:val="20"/>
        </w:rPr>
        <w:t>, for more details related to the revisions included in the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you read this discussion and analysis, refer to the Company’s consolidated financial statements to this Form 10-Q, which present the results of operations for the three and six months ended June 30, 2026 and 2025. Also refer to the Company’s 2025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erif" w:hAnsi="Times New Roman;serif"/>
          <w:b w:val="false"/>
          <w:color w:val="231F20"/>
          <w:sz w:val="20"/>
        </w:rPr>
        <w:t>Results of operations, including an explanation of significant differences between the periods in the specific line items of the consolidated statements of operations;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erif" w:hAnsi="Times New Roman;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Introduction and Overview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13.9 GW of gross capacity in 27 states, including approximately 11.1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 xml:space="preserve">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based on CAFD.</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operating assets are comprised of the following facilities:</w:t>
      </w:r>
    </w:p>
    <w:tbl>
      <w:tblPr>
        <w:tblW w:w="9636" w:type="dxa"/>
        <w:jc w:val="left"/>
        <w:tblInd w:w="0" w:type="dxa"/>
        <w:tblLayout w:type="fixed"/>
        <w:tblCellMar>
          <w:top w:w="28" w:type="dxa"/>
          <w:left w:w="28" w:type="dxa"/>
          <w:bottom w:w="28" w:type="dxa"/>
          <w:right w:w="28" w:type="dxa"/>
        </w:tblCellMar>
      </w:tblPr>
      <w:tblGrid>
        <w:gridCol w:w="725"/>
        <w:gridCol w:w="640"/>
        <w:gridCol w:w="644"/>
        <w:gridCol w:w="109"/>
        <w:gridCol w:w="109"/>
        <w:gridCol w:w="109"/>
        <w:gridCol w:w="217"/>
        <w:gridCol w:w="217"/>
        <w:gridCol w:w="482"/>
        <w:gridCol w:w="109"/>
        <w:gridCol w:w="109"/>
        <w:gridCol w:w="109"/>
        <w:gridCol w:w="277"/>
        <w:gridCol w:w="279"/>
        <w:gridCol w:w="181"/>
        <w:gridCol w:w="109"/>
        <w:gridCol w:w="109"/>
        <w:gridCol w:w="109"/>
        <w:gridCol w:w="294"/>
        <w:gridCol w:w="262"/>
        <w:gridCol w:w="229"/>
        <w:gridCol w:w="109"/>
        <w:gridCol w:w="109"/>
        <w:gridCol w:w="109"/>
        <w:gridCol w:w="844"/>
        <w:gridCol w:w="844"/>
        <w:gridCol w:w="847"/>
        <w:gridCol w:w="109"/>
        <w:gridCol w:w="109"/>
        <w:gridCol w:w="109"/>
        <w:gridCol w:w="298"/>
        <w:gridCol w:w="298"/>
        <w:gridCol w:w="423"/>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Expiration</w:t>
            </w:r>
          </w:p>
        </w:tc>
      </w:tr>
      <w:tr>
        <w:trPr/>
        <w:tc>
          <w:tcPr>
            <w:tcW w:w="2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Flexible Generation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2027 - 2029</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2026 - 2027</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Flexible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Utility Scale Solar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Alpine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2036 - 2041</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Avenal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Buckthorn Solar</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of Georgetown,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JV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Catalina </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w:t>
            </w:r>
            <w:r>
              <w:rPr>
                <w:rFonts w:ascii="Times New Roman;serif" w:hAnsi="Times New Roman;serif"/>
                <w:b w:val="false"/>
                <w:color w:val="000000"/>
                <w:sz w:val="16"/>
              </w:rPr>
              <w:t xml:space="preserve">% </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Conetoe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Corning Inc. and Lockheed Martin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CVSR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Desert Sunlight 300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Enterprise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Iron Springs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Luna Valley</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Oahu Solar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Pine Forest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37</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622"/>
        <w:gridCol w:w="510"/>
        <w:gridCol w:w="514"/>
        <w:gridCol w:w="109"/>
        <w:gridCol w:w="109"/>
        <w:gridCol w:w="109"/>
        <w:gridCol w:w="231"/>
        <w:gridCol w:w="235"/>
        <w:gridCol w:w="241"/>
        <w:gridCol w:w="109"/>
        <w:gridCol w:w="109"/>
        <w:gridCol w:w="109"/>
        <w:gridCol w:w="277"/>
        <w:gridCol w:w="279"/>
        <w:gridCol w:w="109"/>
        <w:gridCol w:w="109"/>
        <w:gridCol w:w="109"/>
        <w:gridCol w:w="109"/>
        <w:gridCol w:w="276"/>
        <w:gridCol w:w="280"/>
        <w:gridCol w:w="109"/>
        <w:gridCol w:w="109"/>
        <w:gridCol w:w="109"/>
        <w:gridCol w:w="109"/>
        <w:gridCol w:w="1378"/>
        <w:gridCol w:w="1301"/>
        <w:gridCol w:w="1322"/>
        <w:gridCol w:w="109"/>
        <w:gridCol w:w="109"/>
        <w:gridCol w:w="109"/>
        <w:gridCol w:w="257"/>
        <w:gridCol w:w="257"/>
        <w:gridCol w:w="372"/>
      </w:tblGrid>
      <w:tr>
        <w:trPr/>
        <w:tc>
          <w:tcPr>
            <w:tcW w:w="62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2038 - 2047</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Shoreham </w:t>
            </w:r>
            <w:r>
              <w:rPr>
                <w:rFonts w:ascii="Times New Roman;serif" w:hAnsi="Times New Roman;serif"/>
                <w:b w:val="false"/>
                <w:color w:val="000000"/>
                <w:sz w:val="12"/>
              </w:rPr>
              <w:t>(b)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 Island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2029 - 2038</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2039 - 2041</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Honeycomb Portfolio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Pine Forest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2035 - 2040</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2027 - 2040</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JV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2033 - 2041</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DGPV Funds</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2030 - 2044</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 Power Partners (SPP)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2026 - 2037</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DG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2026 - 2039</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 - 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X - 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Black Rock</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Toyota and Google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Broken Bow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Cedar Creek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Cedro Hill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CPS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Dan’s Mountain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Energy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Elbow Creek</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Elkhorn Ridge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Goat Mountain </w:t>
            </w:r>
            <w:r>
              <w:rPr>
                <w:rFonts w:ascii="Times New Roman;serif" w:hAnsi="Times New Roman;serif"/>
                <w:b w:val="false"/>
                <w:color w:val="000000"/>
                <w:sz w:val="12"/>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Langford</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Sky</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Star</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2032 - 2035</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Ocotillo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Pinnacle</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Department of General Services and University System of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38</w:t>
                      </w:r>
                    </w:p>
                  </w:txbxContent>
                </v:textbox>
                <w10:wrap type="none"/>
              </v:rect>
            </w:pict>
          </mc:Fallback>
        </mc:AlternateContent>
      </w:r>
    </w:p>
    <w:p>
      <w:pPr>
        <w:pStyle w:val="TextBody"/>
        <w:bidi w:val="0"/>
        <w:spacing w:before="0" w:after="180"/>
        <w:jc w:val="both"/>
        <w:rPr/>
      </w:pPr>
      <w:r>
        <w:rPr/>
      </w:r>
    </w:p>
    <w:tbl>
      <w:tblPr>
        <w:tblW w:w="9910" w:type="dxa"/>
        <w:jc w:val="left"/>
        <w:tblInd w:w="0" w:type="dxa"/>
        <w:tblLayout w:type="fixed"/>
        <w:tblCellMar>
          <w:top w:w="28" w:type="dxa"/>
          <w:left w:w="28" w:type="dxa"/>
          <w:bottom w:w="28" w:type="dxa"/>
          <w:right w:w="28" w:type="dxa"/>
        </w:tblCellMar>
      </w:tblPr>
      <w:tblGrid>
        <w:gridCol w:w="830"/>
        <w:gridCol w:w="730"/>
        <w:gridCol w:w="734"/>
        <w:gridCol w:w="109"/>
        <w:gridCol w:w="109"/>
        <w:gridCol w:w="109"/>
        <w:gridCol w:w="210"/>
        <w:gridCol w:w="211"/>
        <w:gridCol w:w="241"/>
        <w:gridCol w:w="109"/>
        <w:gridCol w:w="109"/>
        <w:gridCol w:w="109"/>
        <w:gridCol w:w="321"/>
        <w:gridCol w:w="325"/>
        <w:gridCol w:w="109"/>
        <w:gridCol w:w="109"/>
        <w:gridCol w:w="109"/>
        <w:gridCol w:w="109"/>
        <w:gridCol w:w="321"/>
        <w:gridCol w:w="325"/>
        <w:gridCol w:w="109"/>
        <w:gridCol w:w="109"/>
        <w:gridCol w:w="109"/>
        <w:gridCol w:w="109"/>
        <w:gridCol w:w="929"/>
        <w:gridCol w:w="929"/>
        <w:gridCol w:w="932"/>
        <w:gridCol w:w="109"/>
        <w:gridCol w:w="109"/>
        <w:gridCol w:w="109"/>
        <w:gridCol w:w="296"/>
        <w:gridCol w:w="296"/>
        <w:gridCol w:w="427"/>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Rattlesnake </w:t>
            </w:r>
            <w:r>
              <w:rPr>
                <w:rFonts w:ascii="Times New Roman;serif" w:hAnsi="Times New Roman;serif"/>
                <w:b w:val="false"/>
                <w:color w:val="000000"/>
                <w:sz w:val="12"/>
              </w:rPr>
              <w:t>(b)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Avista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Sleeping Bear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Spring Canyon II and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Tuolumne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Turlock Irrigation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Wildorado</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Utility Scale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2027 - 2033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Total 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Clearway 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For owned facilities, net capacity represents the maximum, or rated, generating or storage capacity of the facility multiplied by the Company’s percentage ownership in the facility as of June 30, 2026.</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Facilities are part of tax equity arrangements, as further described in Note 4, </w:t>
      </w:r>
      <w:r>
        <w:rPr>
          <w:rFonts w:ascii="Times New Roman;serif" w:hAnsi="Times New Roman;serif"/>
          <w:b w:val="false"/>
          <w:i/>
          <w:color w:val="000000"/>
          <w:sz w:val="16"/>
        </w:rPr>
        <w:t>Investments Accounted for by the Equity Method and Variable Interest Entities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 xml:space="preserve">Facilities are part of the Cardinal Portfolio acquisition, which closed on March 30, 2026, as further described in Note 3, </w:t>
      </w:r>
      <w:r>
        <w:rPr>
          <w:rFonts w:ascii="Times New Roman;serif" w:hAnsi="Times New Roman;serif"/>
          <w:b w:val="false"/>
          <w:i/>
          <w:color w:val="000000"/>
          <w:sz w:val="16"/>
        </w:rPr>
        <w:t>Acquisitions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The Company leases 100% of the interests in the Catalina solar facility through a facility lease agreement that expires in October 2043.</w:t>
      </w:r>
    </w:p>
    <w:p>
      <w:pPr>
        <w:pStyle w:val="TextBody"/>
        <w:bidi w:val="0"/>
        <w:spacing w:lineRule="auto" w:line="288" w:before="0" w:after="6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The Goat Mountain wind facility commenced repowering activities in February 2026 and was taken offline. Repowering commercial operations is expected to occur in the second half of 2027.</w:t>
      </w:r>
    </w:p>
    <w:p>
      <w:pPr>
        <w:pStyle w:val="TextBody"/>
        <w:bidi w:val="0"/>
        <w:spacing w:lineRule="auto" w:line="288" w:before="0" w:after="60"/>
        <w:jc w:val="both"/>
        <w:rPr/>
      </w:pPr>
      <w:r>
        <w:rPr>
          <w:rFonts w:ascii="Times New Roman;serif" w:hAnsi="Times New Roman;serif"/>
          <w:b w:val="false"/>
          <w:color w:val="000000"/>
          <w:sz w:val="13"/>
        </w:rPr>
        <w:t>(f)</w:t>
      </w:r>
      <w:r>
        <w:rPr>
          <w:color w:val="000000"/>
        </w:rPr>
        <w:t xml:space="preserve"> </w:t>
      </w:r>
      <w:r>
        <w:rPr>
          <w:rFonts w:ascii="Times New Roman;serif" w:hAnsi="Times New Roman;serif"/>
          <w:b w:val="false"/>
          <w:color w:val="000000"/>
          <w:sz w:val="16"/>
        </w:rPr>
        <w:t>Rattlesnake has a deliverable capacity of 144 MW.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Significant Events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Third-Party Acquisitions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for net cash consideration of $322 million, which includes post-closing adjustments of $2 million. Of the net consideration, $242 million was paid by Cardinal Purchaser LLC related to facilities consolidated by the Company and $80 million was paid by Cardinal JV Purchaser LLC related to facilities held through a joint venture with a third-party investor, recorded as an equity method investment. After factoring in cash acquired, transaction expenses and proceeds from the related financing activities, the Company estimates its net capital investment in the Cardinal Portfolio will be approximately $240 million. See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w:t>
      </w:r>
      <w:r>
        <w:rPr>
          <w:rFonts w:ascii="Times New Roman;serif" w:hAnsi="Times New Roman;serif"/>
          <w:b w:val="false"/>
          <w:color w:val="000000"/>
          <w:sz w:val="20"/>
        </w:rPr>
        <w:t>, for further discussion of the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Company completed restructuring activities related to certain long-term commodity contracts associated with the Elbow Creek, Langford and Mesquite Sky wind facilities.</w:t>
      </w:r>
      <w:r>
        <w:rPr>
          <w:color w:val="000000"/>
        </w:rPr>
        <w:t xml:space="preserve"> </w:t>
      </w:r>
      <w:r>
        <w:rPr>
          <w:rFonts w:ascii="Times New Roman;serif" w:hAnsi="Times New Roman;serif"/>
          <w:b w:val="false"/>
          <w:color w:val="000000"/>
          <w:sz w:val="20"/>
          <w:shd w:fill="FFFFFF" w:val="clear"/>
        </w:rPr>
        <w:t>In connection with each restructuring, the Company entered into a new 15-year PPA with a commercial or investment-grade counterparty. S</w:t>
      </w:r>
      <w:r>
        <w:rPr>
          <w:rFonts w:ascii="Times New Roman;serif" w:hAnsi="Times New Roman;serif"/>
          <w:b w:val="false"/>
          <w:color w:val="000000"/>
          <w:sz w:val="20"/>
        </w:rPr>
        <w:t xml:space="preserve">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restructuring activities.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May 1, 2026, when the Honeycomb Portfolio BESS facilities reached substantial completion, the Company paid $81 million to Clearway Renew as additional purchase price in connection with the Company’s acquisition of Honeycomb TargetCo from Clearway Renew, which occurred on October 15, 2025.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March 30, 2026, the Company, through its indirect subsidiary, Cardinal Investment Holdco LLC, borrowed $100 million under a new financing arrangement that was entered into in February 2026 to partially fund the acquisition of the Cardinal Portfolio. In connection with the acquisition, the Company also assumed non-recourse facility-level debt associated with certain of the acquired facilities. </w:t>
      </w:r>
      <w:r>
        <w:rPr>
          <w:rFonts w:ascii="Times New Roman;serif" w:hAnsi="Times New Roman;serif"/>
          <w:b w:val="false"/>
          <w:color w:val="000000"/>
          <w:sz w:val="20"/>
        </w:rPr>
        <w:t>On April 27, 2026, the Company made an early partial repayment of $17 million of the assumed facility-level debt.</w:t>
      </w:r>
      <w:r>
        <w:rPr>
          <w:color w:val="000000"/>
          <w:shd w:fill="FFFFFF" w:val="clear"/>
        </w:rPr>
        <w:t xml:space="preserve">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financing arrangement and assumed non-recourse facility-level debt.</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 xml:space="preserve">Goat Mountain Class B Holdco LLC and Goat Wind LLC, as co-borrowers, entered into a financing arrangement for non-recourse debt for a total commitment of $703 million. The Company made initial borrowings under the arrangement to fund costs associated with the Goat Mountain repowering, including payments under the development services agreement with Clearway Renew. See 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and Note 12,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for further discussion.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On January 15, 2026, the Company repaid the $231 million outstanding on the Pine Forest tax credit transfer bridge loan utilizing the proceeds received from the sale of transferable ITCs and distributed the remaining $51 million to CEG, as further described in Note 7,</w:t>
      </w:r>
      <w:r>
        <w:rPr>
          <w:color w:val="000000"/>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January 13, 2026, Clearway Ener</w:t>
      </w:r>
      <w:r>
        <w:rPr>
          <w:rFonts w:ascii="Times New Roman;serif" w:hAnsi="Times New Roman;serif"/>
          <w:b w:val="false"/>
          <w:color w:val="231F20"/>
          <w:sz w:val="20"/>
        </w:rPr>
        <w:t>gy Operating LLC completed the sale of $600 million aggregate principal amount of 5.75% senior unsecured notes due 2034, or the 2034 Senior Notes.</w:t>
      </w:r>
      <w:r>
        <w:rPr>
          <w:color w:val="000000"/>
        </w:rPr>
        <w:t xml:space="preserve"> </w:t>
      </w:r>
      <w:r>
        <w:rPr>
          <w:rFonts w:ascii="Times New Roman;serif" w:hAnsi="Times New Roman;serif"/>
          <w:b w:val="false"/>
          <w:color w:val="000000"/>
          <w:sz w:val="20"/>
        </w:rPr>
        <w:t xml:space="preserve">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2034 Senior Notes.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environmental matters are further described in the Company’s 2025 Form 10-K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regulatory matters are described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Regulatory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Company’s 2025 Form 10-K</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1584"/>
        <w:gridCol w:w="1161"/>
        <w:gridCol w:w="1167"/>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and capacity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fuels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costs of operations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33333"/>
              </w:rPr>
            </w:pPr>
            <w:r>
              <w:rPr>
                <w:color w:val="333333"/>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interest income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interest expense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5"/>
        <w:gridCol w:w="1386"/>
        <w:gridCol w:w="1391"/>
        <w:gridCol w:w="308"/>
        <w:gridCol w:w="308"/>
        <w:gridCol w:w="449"/>
        <w:gridCol w:w="180"/>
        <w:gridCol w:w="180"/>
        <w:gridCol w:w="180"/>
        <w:gridCol w:w="308"/>
        <w:gridCol w:w="308"/>
        <w:gridCol w:w="449"/>
        <w:gridCol w:w="109"/>
        <w:gridCol w:w="109"/>
        <w:gridCol w:w="109"/>
        <w:gridCol w:w="360"/>
        <w:gridCol w:w="361"/>
        <w:gridCol w:w="406"/>
        <w:gridCol w:w="163"/>
        <w:gridCol w:w="163"/>
        <w:gridCol w:w="163"/>
        <w:gridCol w:w="360"/>
        <w:gridCol w:w="361"/>
        <w:gridCol w:w="479"/>
      </w:tblGrid>
      <w:tr>
        <w:trPr/>
        <w:tc>
          <w:tcPr>
            <w:tcW w:w="161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metrics:</w:t>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MWh generated/sold (in thousands) </w:t>
            </w:r>
            <w:r>
              <w:rPr>
                <w:rFonts w:ascii="Times New Roman;serif" w:hAnsi="Times New Roman;serif"/>
                <w:b w:val="false"/>
                <w:color w:val="000000"/>
                <w:sz w:val="13"/>
              </w:rPr>
              <w:t>(a)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MWh generated/sold (in thousands) </w:t>
            </w:r>
            <w:r>
              <w:rPr>
                <w:rFonts w:ascii="Times New Roman;serif" w:hAnsi="Times New Roman;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&amp; Wind MWh generated/sold (in thousands) </w:t>
            </w:r>
            <w:r>
              <w:rPr>
                <w:rFonts w:ascii="Times New Roman;serif" w:hAnsi="Times New Roman;serif"/>
                <w:b w:val="false"/>
                <w:color w:val="000000"/>
                <w:sz w:val="13"/>
              </w:rPr>
              <w:t>(a) (b)</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weighted-average capacity factor </w:t>
            </w:r>
            <w:r>
              <w:rPr>
                <w:rFonts w:ascii="Times New Roman;serif" w:hAnsi="Times New Roman;serif"/>
                <w:b w:val="false"/>
                <w:color w:val="000000"/>
                <w:sz w:val="13"/>
              </w:rPr>
              <w:t>(c)</w:t>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weighted-average capacity factor </w:t>
            </w:r>
            <w:r>
              <w:rPr>
                <w:rFonts w:ascii="Times New Roman;serif" w:hAnsi="Times New Roman;serif"/>
                <w:b w:val="false"/>
                <w:color w:val="000000"/>
                <w:sz w:val="13"/>
              </w:rPr>
              <w:t>(d)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Flexible Generation MWh generated (in thousands) </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 xml:space="preserve">Volumes do not include the MWh generated/sold by the Company’s equity method investments. </w:t>
      </w:r>
    </w:p>
    <w:p>
      <w:pPr>
        <w:pStyle w:val="TextBody"/>
        <w:bidi w:val="0"/>
        <w:spacing w:lineRule="auto" w:line="288" w:before="0" w:after="2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MWh generated/sold includes 651 and 354 MWh (in thousands) associated with curtailment activities for the three months ended June 30, 2026 and 2025, respectively, and 1,027 and 790 for the six months ended June 30, 2026 and 2025, respectively.</w:t>
      </w:r>
    </w:p>
    <w:p>
      <w:pPr>
        <w:pStyle w:val="TextBody"/>
        <w:bidi w:val="0"/>
        <w:spacing w:lineRule="auto" w:line="288" w:before="0" w:after="2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Typical average capacity factors for solar facilities is 25%. The weighted-average capacity factors can vary based on seasonality and weather.</w:t>
      </w:r>
    </w:p>
    <w:p>
      <w:pPr>
        <w:pStyle w:val="TextBody"/>
        <w:bidi w:val="0"/>
        <w:spacing w:lineRule="auto" w:line="288" w:before="0" w:after="2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Typical average capacity factors for wind facilities is 25-45%. The weighted-average capacity factors can vary based on seasonality and weather.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Management’s Discussion of the Results of Operations for the Three Months Ended June 30, 2026 and 2025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$89 million during the three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13"/>
        <w:gridCol w:w="529"/>
        <w:gridCol w:w="530"/>
        <w:gridCol w:w="2468"/>
        <w:gridCol w:w="2468"/>
        <w:gridCol w:w="2474"/>
        <w:gridCol w:w="237"/>
        <w:gridCol w:w="406"/>
        <w:gridCol w:w="180"/>
      </w:tblGrid>
      <w:tr>
        <w:trPr/>
        <w:tc>
          <w:tcPr>
            <w:tcW w:w="9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Daggett 1 BESS, Luna Valley solar, Pine Forest solar and BESS and Rosamond South I solar and BESS acquisitions, which reached commercial operations in the second half of 2025, the Honeycomb BESS facilities which reached commercial operations in April 2026, as well as the Catalina solar and Cardinal solar acquisitions in July 2025 and March 2026, respectively.</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Tuolumne wind acquisition in April 2025, as well as the Dan’s Mountain wind acquisition, which reached commercial operations in May 2025.</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additional amortization from the Tuolumne wind, Catalina solar and Cardinal solar acquisitions in April 2025, July 2025 and March 2026, respectively.</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heat rate call option contracts primarily driven by changes in forward power and natural gas market prices.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an increase in forward power prices in the ERCOT market.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hedge buy-out, which occurred during the second and third quarters of 2025.</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Maintenance Expense</w:t>
      </w:r>
    </w:p>
    <w:p>
      <w:pPr>
        <w:pStyle w:val="TextBody"/>
        <w:bidi w:val="0"/>
        <w:spacing w:lineRule="auto" w:line="288" w:before="0" w:after="60"/>
        <w:ind w:left="0" w:right="0" w:firstLine="450"/>
        <w:jc w:val="both"/>
        <w:rPr/>
      </w:pPr>
      <w:r>
        <w:rPr>
          <w:rFonts w:ascii="Times New Roman;serif" w:hAnsi="Times New Roman;serif"/>
          <w:b w:val="false"/>
          <w:color w:val="000000"/>
          <w:sz w:val="20"/>
        </w:rPr>
        <w:t>Operations and maintenance expense increased by $17 million</w:t>
      </w:r>
      <w:r>
        <w:rPr>
          <w:color w:val="000000"/>
        </w:rPr>
        <w:t xml:space="preserve"> </w:t>
      </w:r>
      <w:r>
        <w:rPr>
          <w:rFonts w:ascii="Times New Roman;serif" w:hAnsi="Times New Roman;serif"/>
          <w:b w:val="false"/>
          <w:color w:val="000000"/>
          <w:sz w:val="20"/>
        </w:rPr>
        <w:t>during the three months ended June 30, 2026 ,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95"/>
        <w:gridCol w:w="877"/>
        <w:gridCol w:w="879"/>
        <w:gridCol w:w="2119"/>
        <w:gridCol w:w="2119"/>
        <w:gridCol w:w="2125"/>
        <w:gridCol w:w="315"/>
        <w:gridCol w:w="540"/>
        <w:gridCol w:w="236"/>
      </w:tblGrid>
      <w:tr>
        <w:trPr/>
        <w:tc>
          <w:tcPr>
            <w:tcW w:w="99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solar and BESS acquisitions referenced above.</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$33 million during the three months ended June 30, 2026, compared to the same period in 2025, primarily due to the solar and BESS acquisitions referenced above.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$22 million during the three months ended June 30, 2026, compared to the same period in 2025, primarily due to the following:</w:t>
      </w:r>
    </w:p>
    <w:tbl>
      <w:tblPr>
        <w:tblW w:w="10205" w:type="dxa"/>
        <w:jc w:val="left"/>
        <w:tblInd w:w="0" w:type="dxa"/>
        <w:tblLayout w:type="fixed"/>
        <w:tblCellMar>
          <w:top w:w="28" w:type="dxa"/>
          <w:left w:w="28" w:type="dxa"/>
          <w:bottom w:w="28" w:type="dxa"/>
          <w:right w:w="28" w:type="dxa"/>
        </w:tblCellMar>
      </w:tblPr>
      <w:tblGrid>
        <w:gridCol w:w="3342"/>
        <w:gridCol w:w="2943"/>
        <w:gridCol w:w="2951"/>
        <w:gridCol w:w="281"/>
        <w:gridCol w:w="480"/>
        <w:gridCol w:w="208"/>
      </w:tblGrid>
      <w:tr>
        <w:trPr/>
        <w:tc>
          <w:tcPr>
            <w:tcW w:w="334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Renewables &amp; Storage segment primarily due to an increase in principal balances from the solar and BESS acquisitions referenced above</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Corporate segment primarily due to the issuance of the 2034 Senior Notes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due to changes in interest rates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i/>
          <w:color w:val="000000"/>
          <w:sz w:val="20"/>
        </w:rPr>
        <w:t>Income</w:t>
      </w:r>
      <w:r>
        <w:rPr>
          <w:color w:val="000000"/>
        </w:rPr>
        <w:t xml:space="preserve"> </w:t>
      </w:r>
      <w:r>
        <w:rPr>
          <w:rFonts w:ascii="Times New Roman;serif" w:hAnsi="Times New Roman;serif"/>
          <w:b/>
          <w:i/>
          <w:color w:val="000000"/>
          <w:sz w:val="20"/>
        </w:rPr>
        <w:t>Tax (Benefit)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an income tax benefit of $3 million on pretax income of $27 million. For the same period in 2025, the Company recorded an income tax expense of $5 million on pretax income of $17 million. The $8 million decrease in income taxes during the three months ended June 30, 2026, compared to the same period in 2025, was primarily due to the allocation of taxable earnings and losses, which includes the effect of applying the HLBV method of accounting for book purposes for certain partnerships.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Company had a net loss of $92 million attributable to noncontrolling interests and redeemable noncontrolling interests comprised of the following: </w:t>
      </w:r>
    </w:p>
    <w:tbl>
      <w:tblPr>
        <w:tblW w:w="10205" w:type="dxa"/>
        <w:jc w:val="left"/>
        <w:tblInd w:w="0" w:type="dxa"/>
        <w:tblLayout w:type="fixed"/>
        <w:tblCellMar>
          <w:top w:w="28" w:type="dxa"/>
          <w:left w:w="28" w:type="dxa"/>
          <w:bottom w:w="28" w:type="dxa"/>
          <w:right w:w="28" w:type="dxa"/>
        </w:tblCellMar>
      </w:tblPr>
      <w:tblGrid>
        <w:gridCol w:w="3339"/>
        <w:gridCol w:w="2932"/>
        <w:gridCol w:w="2947"/>
        <w:gridCol w:w="235"/>
        <w:gridCol w:w="577"/>
        <w:gridCol w:w="175"/>
      </w:tblGrid>
      <w:tr>
        <w:trPr/>
        <w:tc>
          <w:tcPr>
            <w:tcW w:w="3339"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Losses attributable to tax equity financing arrangements and the application of the HLBV method (primarily due to Daggett 1 TE Holdco LLC and Honeycomb TE Holdco LLC</w:t>
            </w:r>
            <w:r>
              <w:rPr>
                <w:color w:val="EE2724"/>
              </w:rPr>
              <w:t xml:space="preserve"> </w:t>
            </w:r>
            <w:r>
              <w:rPr>
                <w:rFonts w:ascii="Times New Roman;serif" w:hAnsi="Times New Roman;serif"/>
                <w:b w:val="false"/>
                <w:color w:val="000000"/>
                <w:sz w:val="20"/>
              </w:rPr>
              <w:t>HLBV losses)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Company had a net loss of $18 million attributable to noncontrolling interests and redeemable noncontrolling interests comprised of the following:</w:t>
      </w:r>
    </w:p>
    <w:tbl>
      <w:tblPr>
        <w:tblW w:w="9133" w:type="dxa"/>
        <w:jc w:val="left"/>
        <w:tblInd w:w="0" w:type="dxa"/>
        <w:tblLayout w:type="fixed"/>
        <w:tblCellMar>
          <w:top w:w="28" w:type="dxa"/>
          <w:left w:w="28" w:type="dxa"/>
          <w:bottom w:w="28" w:type="dxa"/>
          <w:right w:w="28" w:type="dxa"/>
        </w:tblCellMar>
      </w:tblPr>
      <w:tblGrid>
        <w:gridCol w:w="2912"/>
        <w:gridCol w:w="2557"/>
        <w:gridCol w:w="2570"/>
        <w:gridCol w:w="288"/>
        <w:gridCol w:w="596"/>
        <w:gridCol w:w="210"/>
      </w:tblGrid>
      <w:tr>
        <w:trPr/>
        <w:tc>
          <w:tcPr>
            <w:tcW w:w="2912"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third-party partnerships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Discussion of the Results of Operations for the Six Months Ended June 30, 2026 and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$145 million during the six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12"/>
        <w:gridCol w:w="527"/>
        <w:gridCol w:w="528"/>
        <w:gridCol w:w="2521"/>
        <w:gridCol w:w="2413"/>
        <w:gridCol w:w="2419"/>
        <w:gridCol w:w="224"/>
        <w:gridCol w:w="495"/>
        <w:gridCol w:w="166"/>
      </w:tblGrid>
      <w:tr>
        <w:trPr/>
        <w:tc>
          <w:tcPr>
            <w:tcW w:w="9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Daggett 1 BESS, Luna Valley solar, Pine Forest solar and BESS and Rosamond South I solar and BESS acquisitions, which reached commercial operations in the second half of 2025, the Honeycomb BESS facilities, which reached commercial operations in April 2026, and the Catalina solar and Cardinal solar acquisitions in July 2025 and March 2026, respectively.</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 as well as the Dan’s Mountain wind acquisition, which reached commercial operations in May 2025.</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Increase driven by higher wind resource at certain facilities.</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Decrease driven by lower wind production at the Alta facilities due to lower wind resource in 2026 and the long-term enhancement program at Alta II-V that is expected to be completed in the second half of 2026.</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wind sale to Clearway Renew in October 2025 in connection with the repowering.</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reflects normal operating variability.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73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73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73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73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additional amortization from the Tuolumne wind, Catalina solar and Cardinal solar acquisitions in April 2025, July 2025 and March 2026, respectively.</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73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a decrease in forward power prices in the ERCOT market.</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heat rate call option contracts primarily driven by changes in forward power and natural gas market prices.</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hedge buy-out, which occurred during the second and third quarters of 2025.</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73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Maintenance Expense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increased by $30 million during the six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95"/>
        <w:gridCol w:w="877"/>
        <w:gridCol w:w="879"/>
        <w:gridCol w:w="2119"/>
        <w:gridCol w:w="2119"/>
        <w:gridCol w:w="2125"/>
        <w:gridCol w:w="315"/>
        <w:gridCol w:w="540"/>
        <w:gridCol w:w="236"/>
      </w:tblGrid>
      <w:tr>
        <w:trPr/>
        <w:tc>
          <w:tcPr>
            <w:tcW w:w="99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solar and BESS acquisitions referenced above.</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$52 million during the six months ended June 30, 2026, compared to the same period in 2025, primarily due to the solar and BESS acquisitions referenced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$7 million during the six months ended June 30, 2026, compared to the same period in 2025, primarily due to the following:</w:t>
      </w:r>
    </w:p>
    <w:tbl>
      <w:tblPr>
        <w:tblW w:w="10205" w:type="dxa"/>
        <w:jc w:val="left"/>
        <w:tblInd w:w="0" w:type="dxa"/>
        <w:tblLayout w:type="fixed"/>
        <w:tblCellMar>
          <w:top w:w="28" w:type="dxa"/>
          <w:left w:w="28" w:type="dxa"/>
          <w:bottom w:w="28" w:type="dxa"/>
          <w:right w:w="28" w:type="dxa"/>
        </w:tblCellMar>
      </w:tblPr>
      <w:tblGrid>
        <w:gridCol w:w="3342"/>
        <w:gridCol w:w="2943"/>
        <w:gridCol w:w="2951"/>
        <w:gridCol w:w="281"/>
        <w:gridCol w:w="480"/>
        <w:gridCol w:w="208"/>
      </w:tblGrid>
      <w:tr>
        <w:trPr/>
        <w:tc>
          <w:tcPr>
            <w:tcW w:w="334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Renewables &amp; Storage segment primarily due to an increase in principal balances from the solar and BESS acquisitions referenced above</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Corporate segment primarily due to the issuance of the 2034 Senior Notes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due to changes in interest rates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recorded an income tax benefit of $5 million on a pretax loss of $43 million. For the same period in 2025, the Company recorded an income tax expense of $5 million on a pretax loss of $87 million. The $10 million decrease in income taxes during the six months ended June 30, 2026, compared to the same period in 2025, was primarily due to the allocation of taxable earnings and losses, which includes the effect of applying the HLBV method of accounting for book purposes for certain partnerships.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Income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had net income of $3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446"/>
        <w:gridCol w:w="2890"/>
        <w:gridCol w:w="2910"/>
        <w:gridCol w:w="243"/>
        <w:gridCol w:w="536"/>
        <w:gridCol w:w="180"/>
      </w:tblGrid>
      <w:tr>
        <w:trPr/>
        <w:tc>
          <w:tcPr>
            <w:tcW w:w="344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from the equity pickup of Pine Forest TE HoldCo LLC HLBV losses)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Losses attributable to tax equity financing arrangements and the application of the HLBV method (primarily due to Daggett 1 TE Holdco LLC, Luna Valley TE Holdco LLC and Honeycomb TE Holdco LLC</w:t>
            </w:r>
            <w:r>
              <w:rPr>
                <w:color w:val="EE2724"/>
              </w:rPr>
              <w:t xml:space="preserve"> </w:t>
            </w:r>
            <w:r>
              <w:rPr>
                <w:rFonts w:ascii="Times New Roman;serif" w:hAnsi="Times New Roman;serif"/>
                <w:b w:val="false"/>
                <w:color w:val="000000"/>
                <w:sz w:val="20"/>
              </w:rPr>
              <w:t>HLBV losses)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924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had a net loss of $119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8"/>
        <w:gridCol w:w="2940"/>
        <w:gridCol w:w="2956"/>
        <w:gridCol w:w="231"/>
        <w:gridCol w:w="560"/>
        <w:gridCol w:w="170"/>
      </w:tblGrid>
      <w:tr>
        <w:trPr/>
        <w:tc>
          <w:tcPr>
            <w:tcW w:w="3348"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4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Cedro Hill TE Holdco, Rosie TE HoldCo LLC, TSN1 TE Holdco LLC and VP-Arica TE Holdco LLC HLBV losses)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third-party partnerships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principal liquidity requirements are to meet its financial commitments, finance current operations, fund capital expenditures, including investments and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Current Liquidity Position</w:t>
      </w:r>
    </w:p>
    <w:p>
      <w:pPr>
        <w:pStyle w:val="TextBody"/>
        <w:bidi w:val="0"/>
        <w:spacing w:lineRule="auto" w:line="288" w:before="0" w:after="6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the Company’s liquidity was approximately $985 million and </w:t>
      </w:r>
      <w:r>
        <w:rPr>
          <w:rFonts w:ascii="Times New Roman;serif" w:hAnsi="Times New Roman;serif"/>
          <w:b w:val="false"/>
          <w:color w:val="000000"/>
          <w:sz w:val="20"/>
        </w:rPr>
        <w:t>$1,061 million</w:t>
      </w:r>
      <w:r>
        <w:rPr>
          <w:rFonts w:ascii="Times New Roman;serif" w:hAnsi="Times New Roman;serif"/>
          <w:b w:val="false"/>
          <w:color w:val="231F20"/>
          <w:sz w:val="20"/>
        </w:rPr>
        <w:t>,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497"/>
        <w:gridCol w:w="2188"/>
        <w:gridCol w:w="2210"/>
        <w:gridCol w:w="109"/>
        <w:gridCol w:w="109"/>
        <w:gridCol w:w="109"/>
        <w:gridCol w:w="300"/>
        <w:gridCol w:w="664"/>
        <w:gridCol w:w="155"/>
        <w:gridCol w:w="109"/>
        <w:gridCol w:w="109"/>
        <w:gridCol w:w="109"/>
        <w:gridCol w:w="329"/>
        <w:gridCol w:w="963"/>
        <w:gridCol w:w="245"/>
      </w:tblGrid>
      <w:tr>
        <w:trPr/>
        <w:tc>
          <w:tcPr>
            <w:tcW w:w="2497"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pPr>
      <w:r>
        <w:rPr>
          <w:rFonts w:ascii="Times New Roman;serif" w:hAnsi="Times New Roman;serif"/>
          <w:b w:val="false"/>
          <w:color w:val="231F20"/>
          <w:sz w:val="20"/>
        </w:rPr>
        <w:t xml:space="preserve">The Company’s liquidity includes $292 million and $587 million of restricted cash balances as of June 30, 2026 and December 31, 2025, respectively. Restricted cash consists primarily of funds to satisfy the requirements of certain debt arrangements and funds held within the Company’s facilities that are restricted in their use. As of </w:t>
      </w:r>
      <w:r>
        <w:rPr>
          <w:rFonts w:ascii="Times New Roman;serif" w:hAnsi="Times New Roman;serif"/>
          <w:b w:val="false"/>
          <w:color w:val="000000"/>
          <w:sz w:val="20"/>
        </w:rPr>
        <w:t>June 30, 2026, these restricted funds were comprised of $130 million designated to fund operating expenses, approximately $40 million designated for current debt service payments and $90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Clearway Energy LLC and Clearway Energy Operating LLC Revolving Credit Facility</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of June 30, 2026, the Company had $60 million in outstanding borrowings under the revolving credit facility and $198 million in letters of credit outstanding. During January 2026, the Company repaid </w:t>
      </w:r>
      <w:r>
        <w:rPr>
          <w:rFonts w:ascii="Times New Roman;serif" w:hAnsi="Times New Roman;serif"/>
          <w:b w:val="false"/>
          <w:color w:val="231F20"/>
          <w:sz w:val="20"/>
        </w:rPr>
        <w:t>$361 million</w:t>
      </w:r>
      <w:r>
        <w:rPr>
          <w:color w:val="000000"/>
        </w:rPr>
        <w:t xml:space="preserve"> </w:t>
      </w:r>
      <w:r>
        <w:rPr>
          <w:rFonts w:ascii="Times New Roman;serif" w:hAnsi="Times New Roman;serif"/>
          <w:b w:val="false"/>
          <w:color w:val="000000"/>
          <w:sz w:val="20"/>
        </w:rPr>
        <w:t xml:space="preserve">in outstanding borrowings under the revolving credit facility utilizing the proceeds from the sale of the 2034 Senior Notes. During July 2026, the Company borrowed an additional $45 million under the revolving credit facility and subsequently repaid $50 million. As of July 31, 2026, the Company had $55 million in outstanding borrowings under the revolving credit facility. </w:t>
      </w:r>
      <w:r>
        <w:rPr>
          <w:rFonts w:ascii="Times New Roman;serif" w:hAnsi="Times New Roman;serif"/>
          <w:b w:val="false"/>
          <w:color w:val="231F20"/>
          <w:sz w:val="20"/>
        </w:rPr>
        <w:t>The facility will continue to be used for general corporate purposes including financing of future investments or acquisitions and posting letters of credit.</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C common stock. Management continues to regularly monitor the Company’s ability to finance the needs of its operating, financing and investing activities within the dictates of prudent balance sheet management.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Ratings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credit ratings for the Company and its Senior Notes as of June 30, 2026:</w:t>
      </w:r>
    </w:p>
    <w:tbl>
      <w:tblPr>
        <w:tblW w:w="4445" w:type="dxa"/>
        <w:jc w:val="left"/>
        <w:tblInd w:w="0" w:type="dxa"/>
        <w:tblLayout w:type="fixed"/>
        <w:tblCellMar>
          <w:top w:w="28" w:type="dxa"/>
          <w:left w:w="28" w:type="dxa"/>
          <w:bottom w:w="28" w:type="dxa"/>
          <w:right w:w="28" w:type="dxa"/>
        </w:tblCellMar>
      </w:tblPr>
      <w:tblGrid>
        <w:gridCol w:w="972"/>
        <w:gridCol w:w="854"/>
        <w:gridCol w:w="859"/>
        <w:gridCol w:w="144"/>
        <w:gridCol w:w="144"/>
        <w:gridCol w:w="146"/>
        <w:gridCol w:w="109"/>
        <w:gridCol w:w="109"/>
        <w:gridCol w:w="109"/>
        <w:gridCol w:w="245"/>
        <w:gridCol w:w="245"/>
        <w:gridCol w:w="246"/>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Moody’s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 </w:t>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Senior Notes, due 2028</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Senior Notes, due 2031</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Senior Notes, due 2032</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Senior Notes, due 2034</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231F20"/>
          <w:sz w:val="20"/>
        </w:rPr>
      </w:pPr>
      <w:r>
        <w:rPr>
          <w:rFonts w:ascii="Times New Roman;serif" w:hAnsi="Times New Roman;serif"/>
          <w:b/>
          <w:i/>
          <w:color w:val="231F20"/>
          <w:sz w:val="20"/>
        </w:rPr>
        <w:t>Sources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and </w:t>
      </w:r>
      <w:r>
        <w:rPr>
          <w:rFonts w:ascii="Times New Roman;serif" w:hAnsi="Times New Roman;serif"/>
          <w:b w:val="false"/>
          <w:color w:val="000000"/>
          <w:sz w:val="20"/>
        </w:rPr>
        <w:t xml:space="preserve">Note 9, </w:t>
      </w:r>
      <w:r>
        <w:rPr>
          <w:rFonts w:ascii="Times New Roman;serif" w:hAnsi="Times New Roman;serif"/>
          <w:b w:val="false"/>
          <w:i/>
          <w:color w:val="000000"/>
          <w:sz w:val="20"/>
        </w:rPr>
        <w:t>Changes in Capital Structure</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to this Form 10-Q, and Item 15 — Note 10,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and </w:t>
      </w:r>
      <w:r>
        <w:rPr>
          <w:rFonts w:ascii="Times New Roman;serif" w:hAnsi="Times New Roman;serif"/>
          <w:b w:val="false"/>
          <w:color w:val="000000"/>
          <w:sz w:val="20"/>
        </w:rPr>
        <w:t>Note 12</w:t>
      </w:r>
      <w:r>
        <w:rPr>
          <w:rFonts w:ascii="Times New Roman;serif" w:hAnsi="Times New Roman;serif"/>
          <w:b w:val="false"/>
          <w:color w:val="231F20"/>
          <w:sz w:val="20"/>
        </w:rPr>
        <w:t xml:space="preserve">,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w:t>
      </w:r>
      <w:r>
        <w:rPr>
          <w:rFonts w:ascii="Times New Roman;serif" w:hAnsi="Times New Roman;serif"/>
          <w:b w:val="false"/>
          <w:color w:val="231F20"/>
          <w:sz w:val="20"/>
        </w:rPr>
        <w:t>to the consolidated financial statements included in the Company’s 2025 Form 10-K, and further below, the Company’s financing arrangements consist of corporate-level debt, which includes Senior Notes and the revolving credit facility; facility-level financings for its various assets; the ATM Program and the DSPP.</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 xml:space="preserve">Goat Mountain Repowering Financing </w:t>
      </w:r>
      <w:r>
        <w:rPr>
          <w:color w:val="000000"/>
        </w:rPr>
        <w:t xml:space="preserve">— </w:t>
      </w: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Goat Mountain Class B Holdco LLC and Goat Wind LLC, as co-borrowers, entered into a financing arrangement for non-recourse debt for a total commitment of $703 million, which consists of a construction loan that converts to a five-year term loan upon substantial completion of the repowering, as well as bridge loans to be repaid with the proceeds from the tax equity investor. The construction loan and bridge loans bear interest at a rate of SOFR plus 1.50% and mature on the term conversion date. The initial borrowing of $140 million was primarily used to fund costs associated with the Goat Mountain repowering, including payments under the development services agreement, deferred debt issuance costs and capital expenditures. In June 2026, the Company paid the remaining $36 million due under the development services agreement. Under the financing arrangement, the Company borrowed $231 million through June 30, 2026. The Company estimates that its total capital investment in the Goat Mountain repowering will be $200 million, subject to closing adjustments.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2034 Senior Notes</w:t>
      </w:r>
      <w:r>
        <w:rPr>
          <w:color w:val="000000"/>
        </w:rPr>
        <w:t xml:space="preserve"> — </w:t>
      </w:r>
      <w:r>
        <w:rPr>
          <w:rFonts w:ascii="Times New Roman;serif" w:hAnsi="Times New Roman;serif"/>
          <w:b w:val="false"/>
          <w:color w:val="231F20"/>
          <w:sz w:val="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Direct Stock Purchase Plan, or DSPP</w:t>
      </w:r>
      <w:r>
        <w:rPr>
          <w:color w:val="000000"/>
        </w:rPr>
        <w:t xml:space="preserve"> — </w:t>
      </w:r>
      <w:r>
        <w:rPr>
          <w:rFonts w:ascii="Times New Roman;serif" w:hAnsi="Times New Roman;serif"/>
          <w:b w:val="false"/>
          <w:color w:val="000000"/>
          <w:sz w:val="20"/>
        </w:rPr>
        <w:t>In January 2026, the Company issued 1,445,244 shares of Class C common stock under the DSPP for gross proceeds of $50 million and incurred fees of less than $1 million, which were exchanged for 1,445,244 Class C units of Clearway Energy LLC. As of June 30, 2026, 1,061,554 shares of Class C common stock remained available for issuance under the DSPP.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i/>
          <w:color w:val="231F20"/>
          <w:sz w:val="20"/>
        </w:rPr>
      </w:pPr>
      <w:r>
        <w:rPr>
          <w:rFonts w:ascii="Times New Roman;serif" w:hAnsi="Times New Roman;serif"/>
          <w:b/>
          <w:i/>
          <w:color w:val="231F20"/>
          <w:sz w:val="20"/>
        </w:rPr>
        <w:t>Uses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erif" w:hAnsi="Times New Roman;serif"/>
          <w:b w:val="false"/>
          <w:color w:val="000000"/>
          <w:sz w:val="20"/>
        </w:rPr>
        <w:t>Note 7</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color w:val="231F20"/>
          <w:sz w:val="20"/>
        </w:rPr>
        <w:t xml:space="preserve">; (ii) capital expenditures; (iii) off-balance sheet arrangements; (iv) acquisitions and investments, as described more fully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and Note 9, </w:t>
      </w:r>
      <w:r>
        <w:rPr>
          <w:rFonts w:ascii="Times New Roman;serif" w:hAnsi="Times New Roman;serif"/>
          <w:b w:val="false"/>
          <w:i/>
          <w:color w:val="000000"/>
          <w:sz w:val="20"/>
        </w:rPr>
        <w:t>Changes in Capital Structure</w:t>
      </w:r>
      <w:r>
        <w:rPr>
          <w:rFonts w:ascii="Times New Roman;serif" w:hAnsi="Times New Roman;serif"/>
          <w:b w:val="false"/>
          <w:color w:val="231F20"/>
          <w:sz w:val="20"/>
        </w:rPr>
        <w:t>; and (v) cash dividends to investors.</w:t>
      </w:r>
    </w:p>
    <w:p>
      <w:pPr>
        <w:pStyle w:val="TextBody"/>
        <w:bidi w:val="0"/>
        <w:spacing w:lineRule="auto" w:line="288" w:before="0" w:after="180"/>
        <w:ind w:left="0" w:right="0" w:firstLine="450"/>
        <w:jc w:val="left"/>
        <w:rPr>
          <w:rFonts w:ascii="Times New Roman;serif" w:hAnsi="Times New Roman;serif"/>
          <w:b/>
          <w:i/>
          <w:color w:val="231F20"/>
          <w:sz w:val="20"/>
        </w:rPr>
      </w:pPr>
      <w:r>
        <w:rPr>
          <w:rFonts w:ascii="Times New Roman;serif" w:hAnsi="Times New Roman;serif"/>
          <w:b/>
          <w:i/>
          <w:color w:val="231F20"/>
          <w:sz w:val="20"/>
        </w:rPr>
        <w:t>Capital Expenditures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For the six months ended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Company used approximately $159 million to fund capital expenditures, including growth </w:t>
      </w:r>
      <w:r>
        <w:rPr>
          <w:rFonts w:ascii="Times New Roman;serif" w:hAnsi="Times New Roman;serif"/>
          <w:b w:val="false"/>
          <w:color w:val="000000"/>
          <w:sz w:val="20"/>
        </w:rPr>
        <w:t>expenditures of $154 million, primarily in the Renewables &amp; Storage segment, funded through construction-related financing. Growth capital expenditures included $72 million incurred in connection with the Honeycomb Portfolio BESS facilities, $51 million incurred in connection with the repowering of the Goat Mountain wind facility, $21 million incurred in connection with the Pine Forest solar and BESS facility and $10 million incurred by other facilities.</w:t>
      </w:r>
      <w:r>
        <w:rPr>
          <w:color w:val="231F20"/>
        </w:rPr>
        <w:t xml:space="preserve"> </w:t>
      </w:r>
      <w:r>
        <w:rPr>
          <w:rFonts w:ascii="Times New Roman;serif" w:hAnsi="Times New Roman;serif"/>
          <w:b w:val="false"/>
          <w:color w:val="231F20"/>
          <w:sz w:val="20"/>
        </w:rPr>
        <w:t xml:space="preserve">In addition, the Company incurred </w:t>
      </w:r>
      <w:r>
        <w:rPr>
          <w:rFonts w:ascii="Times New Roman;serif" w:hAnsi="Times New Roman;serif"/>
          <w:b w:val="false"/>
          <w:color w:val="000000"/>
          <w:sz w:val="20"/>
        </w:rPr>
        <w:t>$5 million of maintenance capital expenditures, which is net of credits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48</w:t>
                      </w:r>
                    </w:p>
                  </w:txbxContent>
                </v:textbox>
                <w10:wrap type="none"/>
              </v:rect>
            </w:pict>
          </mc:Fallback>
        </mc:AlternateContent>
      </w:r>
    </w:p>
    <w:p>
      <w:pPr>
        <w:pStyle w:val="TextBody"/>
        <w:bidi w:val="0"/>
        <w:spacing w:before="0" w:after="180"/>
        <w:jc w:val="both"/>
        <w:rPr/>
      </w:pPr>
      <w:r>
        <w:rPr/>
      </w:r>
    </w:p>
    <w:p>
      <w:pPr>
        <w:pStyle w:val="TextBody"/>
        <w:bidi w:val="0"/>
        <w:spacing w:lineRule="auto" w:line="276"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under Certain Guarantee Contracts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Retained or Contingent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material retained or contingent interests in assets transferred to an unconsolidated entity.</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Variable interest in equity investments</w:t>
      </w:r>
      <w:r>
        <w:rPr>
          <w:color w:val="000000"/>
        </w:rPr>
        <w:t> — </w:t>
      </w:r>
      <w:r>
        <w:rPr>
          <w:rFonts w:ascii="Times New Roman;serif" w:hAnsi="Times New Roman;serif"/>
          <w:b w:val="false"/>
          <w:color w:val="000000"/>
          <w:sz w:val="20"/>
        </w:rPr>
        <w:t>As of June 30, 2026, the Company has several investments with an ownership interest percentage of 50% or less. GenConn is a VIE for which the Company is not the primary beneficiary. The Company’s pro-rata share of non-recourse debt held by unconsolidated affiliates was approximately $351 million as of June 30, 2026.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erif" w:hAnsi="Times New Roman;serif"/>
          <w:b w:val="false"/>
          <w:color w:val="231F20"/>
          <w:sz w:val="20"/>
        </w:rPr>
        <w:t>2025</w:t>
      </w:r>
      <w:r>
        <w:rPr>
          <w:color w:val="000000"/>
        </w:rPr>
        <w:t xml:space="preserve"> </w:t>
      </w:r>
      <w:r>
        <w:rPr>
          <w:rFonts w:ascii="Times New Roman;serif" w:hAnsi="Times New Roman;serif"/>
          <w:b w:val="false"/>
          <w:color w:val="000000"/>
          <w:sz w:val="20"/>
        </w:rPr>
        <w:t>Form 10-K.</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Acquisitions and Investments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Third-Party Acquisition</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Cardinal Portfolio </w:t>
      </w:r>
      <w:r>
        <w:rPr>
          <w:color w:val="000000"/>
        </w:rPr>
        <w:t xml:space="preserve">— </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for net cash consideration of $322 million, which includes post-closing adjustments of $2 million. Of the net consideration, $242 million was paid by Cardinal Purchaser LLC related to facilities consolidated by the Company and $80 million was paid by Cardinal JV Purchaser LLC related to facilities held through a joint venture with a third-party investor. The Cardinal Portfolio has a weighted average remaining contract duration of approximately 10 years. The acquisition was funded with $100 million in borrowings under the new financing arrangement entered into in connection with the acquisition, as well as existing sources of liquidity. </w:t>
      </w:r>
    </w:p>
    <w:p>
      <w:pPr>
        <w:pStyle w:val="TextBody"/>
        <w:bidi w:val="0"/>
        <w:spacing w:lineRule="auto" w:line="288" w:before="0" w:after="180"/>
        <w:ind w:left="0" w:right="0" w:firstLine="450"/>
        <w:jc w:val="both"/>
        <w:rPr/>
      </w:pPr>
      <w:r>
        <w:rPr>
          <w:rFonts w:ascii="Times New Roman;serif" w:hAnsi="Times New Roman;serif"/>
          <w:b w:val="false"/>
          <w:color w:val="000000"/>
          <w:sz w:val="20"/>
        </w:rPr>
        <w:t>In connection with the acquisition, the Company also assumed non-recourse facility</w:t>
        <w:noBreakHyphen/>
        <w:t xml:space="preserve">level debt associated with certain of the acquired facilities. On April 27, 2026, the Company made an early partial repayment of $17 million of the assumed facility-level debt. </w:t>
      </w:r>
      <w:r>
        <w:rPr>
          <w:rFonts w:ascii="Times New Roman;serif" w:hAnsi="Times New Roman;serif"/>
          <w:b w:val="false"/>
          <w:color w:val="000000"/>
          <w:sz w:val="20"/>
          <w:shd w:fill="FFFFFF" w:val="clear"/>
        </w:rPr>
        <w:t>After factoring in cash acquired, transaction expenses and proceeds from the related financing activities, the Company estimates its net capital investment in the Cardinal Portfolio will be approximately $240 million.</w:t>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Drop Down Transactions</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Honeycomb Portfolio Drop Down </w:t>
      </w:r>
      <w:r>
        <w:rPr>
          <w:color w:val="000000"/>
        </w:rPr>
        <w:t xml:space="preserve">— </w:t>
      </w:r>
      <w:r>
        <w:rPr>
          <w:rFonts w:ascii="Times New Roman;serif" w:hAnsi="Times New Roman;serif"/>
          <w:b w:val="false"/>
          <w:color w:val="000000"/>
          <w:sz w:val="20"/>
          <w:shd w:fill="FFFFFF" w:val="clear"/>
        </w:rPr>
        <w:t>On May 1, 2026, when the Honeycomb Portfolio BESS facilities reached substantial completion, the Company paid $81 million to Clearway Renew as additional purchase price in connection with the Company’s acquisition of Honeycomb TargetCo LLC, or Honeycomb TargetCo, from Clearway Renew, which occurred on October 15, 2025. The Company’s additional purchase price was funded with existing sources of liquidity.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Prior to substantial completion being reached, the Company borrowed an additional $71 million in construction loans during 2026, and on May 1, 2026, the total outstanding construction loans were converted to a term loan.</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Pine Forest </w:t>
      </w:r>
      <w:r>
        <w:rPr>
          <w:color w:val="000000"/>
        </w:rPr>
        <w:t xml:space="preserve">— </w:t>
      </w:r>
      <w:r>
        <w:rPr>
          <w:rFonts w:ascii="Times New Roman;serif" w:hAnsi="Times New Roman;serif"/>
          <w:b w:val="false"/>
          <w:color w:val="000000"/>
          <w:sz w:val="20"/>
        </w:rPr>
        <w:t>On January 15, 2026, the Company repaid the $231 million outstanding on the tax credit transfer bridge loan utilizing the proceeds received from the sale of transferable ITCs and distributed the remaining $51 million to CEG, as further described in Note 7,</w:t>
      </w:r>
      <w:r>
        <w:rPr>
          <w:color w:val="000000"/>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the Company holds the Class A membership interests in Pine Forest TE HoldCo LLC through its ownership of Pine Forest TE Class A, net loss attributable to Clearway Energy, Inc. reflects HLBV allocations associated with Pine Forest’s tax attributes, including ITCs and accelerated tax depreciation. As a result, larger losses were allocated to the Company in 2026 relative to other partnerships and will continue to be allocated to the Company during the early stages of the facility’s operations. These losses are non-cash in nature and do not impact the Company’s liquidity.</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Commodity Contract Restructuring Transactions</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the following restructuring activities related to certain long-term commodity contracts associated with its wind facilities. In connection with each restructuring, the Company entered into a new 15-year PPA with a commercial or investment-grade counterparty. The new PPAs are fixed-price, unit-contingent arrangements that contract all available output from the applicable facilities, replacing legacy defined-quantity hedge structures that exposed the facilities to volumetric risk and merchant market pricing for a portion of generation. As a result, the new PPAs are expected to reduce volumetric exposure and increase the predictability of future cash flows from the facilities.</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Elbow Creek Restructuring </w:t>
      </w:r>
      <w:r>
        <w:rPr>
          <w:color w:val="000000"/>
        </w:rPr>
        <w:t xml:space="preserve">— </w:t>
      </w:r>
      <w:r>
        <w:rPr>
          <w:rFonts w:ascii="Times New Roman;serif" w:hAnsi="Times New Roman;serif"/>
          <w:b w:val="false"/>
          <w:color w:val="000000"/>
          <w:sz w:val="20"/>
          <w:shd w:fill="FFFFFF" w:val="clear"/>
        </w:rPr>
        <w:t>On June 25, 2026, the Company restructured its existing energy</w:t>
        <w:noBreakHyphen/>
        <w:t>related commodity contract associated with the Elbow Creek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$46 million</w:t>
      </w:r>
      <w:r>
        <w:rPr>
          <w:rFonts w:ascii="Times New Roman;serif" w:hAnsi="Times New Roman;serif"/>
          <w:b w:val="false"/>
          <w:color w:val="000000"/>
          <w:sz w:val="20"/>
          <w:shd w:fill="FFFFFF" w:val="clear"/>
        </w:rPr>
        <w:t xml:space="preserve">, as well as </w:t>
      </w:r>
      <w:r>
        <w:rPr>
          <w:rFonts w:ascii="Times New Roman;serif" w:hAnsi="Times New Roman;serif"/>
          <w:b w:val="false"/>
          <w:color w:val="000000"/>
          <w:sz w:val="20"/>
        </w:rPr>
        <w:t>$8 million</w:t>
      </w:r>
      <w:r>
        <w:rPr>
          <w:color w:val="000000"/>
          <w:shd w:fill="FFFFFF" w:val="clear"/>
        </w:rPr>
        <w:t xml:space="preserve"> </w:t>
      </w:r>
      <w:r>
        <w:rPr>
          <w:rFonts w:ascii="Times New Roman;serif" w:hAnsi="Times New Roman;serif"/>
          <w:b w:val="false"/>
          <w:color w:val="000000"/>
          <w:sz w:val="20"/>
          <w:shd w:fill="FFFFFF" w:val="clear"/>
        </w:rPr>
        <w:t>owed to the counterparty that was previously included in other non</w:t>
        <w:noBreakHyphen/>
        <w:t xml:space="preserve">current liabilities. The Company also paid </w:t>
      </w:r>
      <w:r>
        <w:rPr>
          <w:rFonts w:ascii="Times New Roman;serif" w:hAnsi="Times New Roman;serif"/>
          <w:b w:val="false"/>
          <w:color w:val="000000"/>
          <w:sz w:val="20"/>
        </w:rPr>
        <w:t>$20 million</w:t>
      </w:r>
      <w:r>
        <w:rPr>
          <w:rFonts w:ascii="Times New Roman;serif" w:hAnsi="Times New Roman;serif"/>
          <w:b w:val="false"/>
          <w:color w:val="000000"/>
          <w:sz w:val="20"/>
          <w:shd w:fill="FFFFFF" w:val="clear"/>
        </w:rPr>
        <w:t xml:space="preserve">, which was used to settle the non-current liability and partially settle the outstanding derivative liability, resulting in a term financing obligation with an initial carrying amount of </w:t>
      </w:r>
      <w:r>
        <w:rPr>
          <w:rFonts w:ascii="Times New Roman;serif" w:hAnsi="Times New Roman;serif"/>
          <w:b w:val="false"/>
          <w:color w:val="000000"/>
          <w:sz w:val="20"/>
        </w:rPr>
        <w:t>$34 million</w:t>
      </w:r>
      <w:r>
        <w:rPr>
          <w:rFonts w:ascii="Times New Roman;serif" w:hAnsi="Times New Roman;serif"/>
          <w:b w:val="false"/>
          <w:color w:val="000000"/>
          <w:sz w:val="20"/>
          <w:shd w:fill="FFFFFF" w:val="clear"/>
        </w:rPr>
        <w:t xml:space="preserve">. The financing obligation is repaid through fixed monthly payments beginning in </w:t>
      </w:r>
      <w:r>
        <w:rPr>
          <w:rFonts w:ascii="Times New Roman;serif" w:hAnsi="Times New Roman;serif"/>
          <w:b w:val="false"/>
          <w:color w:val="000000"/>
          <w:sz w:val="20"/>
        </w:rPr>
        <w:t xml:space="preserve">July 2026 and matures on October 31, 2032.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5.493%</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Langford Restructuring </w:t>
      </w:r>
      <w:r>
        <w:rPr>
          <w:color w:val="000000"/>
        </w:rPr>
        <w:t xml:space="preserve">— </w:t>
      </w:r>
      <w:r>
        <w:rPr>
          <w:rFonts w:ascii="Times New Roman;serif" w:hAnsi="Times New Roman;serif"/>
          <w:b w:val="false"/>
          <w:color w:val="000000"/>
          <w:sz w:val="20"/>
          <w:shd w:fill="FFFFFF" w:val="clear"/>
        </w:rPr>
        <w:t>On June 10, 2026, the Company restructured its existing energy</w:t>
        <w:noBreakHyphen/>
        <w:t>related commodity contract associated with the Langford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$62 million</w:t>
      </w:r>
      <w:r>
        <w:rPr>
          <w:color w:val="000000"/>
          <w:shd w:fill="FFFFFF" w:val="clear"/>
        </w:rPr>
        <w:t xml:space="preserve"> </w:t>
      </w:r>
      <w:r>
        <w:rPr>
          <w:rFonts w:ascii="Times New Roman;serif" w:hAnsi="Times New Roman;serif"/>
          <w:b w:val="false"/>
          <w:color w:val="000000"/>
          <w:sz w:val="20"/>
          <w:shd w:fill="FFFFFF" w:val="clear"/>
        </w:rPr>
        <w:t xml:space="preserve">and recognized a term financing obligation with an initial carrying amount of </w:t>
      </w:r>
      <w:r>
        <w:rPr>
          <w:rFonts w:ascii="Times New Roman;serif" w:hAnsi="Times New Roman;serif"/>
          <w:b w:val="false"/>
          <w:color w:val="000000"/>
          <w:sz w:val="20"/>
        </w:rPr>
        <w:t>$62 million</w:t>
      </w:r>
      <w:r>
        <w:rPr>
          <w:rFonts w:ascii="Times New Roman;serif" w:hAnsi="Times New Roman;serif"/>
          <w:b w:val="false"/>
          <w:color w:val="000000"/>
          <w:sz w:val="20"/>
          <w:shd w:fill="FFFFFF" w:val="clear"/>
        </w:rPr>
        <w:t xml:space="preserve">. The financing obligation is repaid through fixed monthly payments beginning in </w:t>
      </w:r>
      <w:r>
        <w:rPr>
          <w:rFonts w:ascii="Times New Roman;serif" w:hAnsi="Times New Roman;serif"/>
          <w:b w:val="false"/>
          <w:color w:val="000000"/>
          <w:sz w:val="20"/>
        </w:rPr>
        <w:t xml:space="preserve">July 2026 and matures on June 30, 2033.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$75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5.749%</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Mesquite Sky Restructuring </w:t>
      </w:r>
      <w:r>
        <w:rPr>
          <w:color w:val="000000"/>
        </w:rPr>
        <w:t xml:space="preserve">— </w:t>
      </w: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w:t>
        <w:noBreakHyphen/>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noBreakHyphen/>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w:t>
      </w:r>
    </w:p>
    <w:p>
      <w:pPr>
        <w:pStyle w:val="TextBody"/>
        <w:bidi w:val="0"/>
        <w:spacing w:lineRule="auto" w:line="288" w:before="0" w:after="180"/>
        <w:ind w:left="0" w:right="0" w:firstLine="45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Dividends to Investors</w:t>
      </w:r>
    </w:p>
    <w:p>
      <w:pPr>
        <w:pStyle w:val="TextBody"/>
        <w:bidi w:val="0"/>
        <w:spacing w:lineRule="auto" w:line="288" w:before="0" w:after="180"/>
        <w:ind w:left="0" w:right="0" w:firstLine="450"/>
        <w:jc w:val="both"/>
        <w:rPr/>
      </w:pPr>
      <w:r>
        <w:rPr>
          <w:rFonts w:ascii="Times New Roman;serif" w:hAnsi="Times New Roman;serif"/>
          <w:b w:val="false"/>
          <w:color w:val="231F20"/>
          <w:sz w:val="20"/>
        </w:rPr>
        <w:t>The Company intends to use the amount of cash that it receives from its distributions from Clearway Energy LLC to pay quarterly dividends to the holders of its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serif" w:hAnsi="Times New Roman;serif"/>
          <w:b w:val="false"/>
          <w:color w:val="000000"/>
          <w:sz w:val="20"/>
        </w:rPr>
        <w:t>he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dividends paid on the Company’s Class A common stock and Class C common stock during the six months ended June 30, 2026:</w:t>
      </w:r>
    </w:p>
    <w:tbl>
      <w:tblPr>
        <w:tblW w:w="6576"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109"/>
        <w:gridCol w:w="109"/>
        <w:gridCol w:w="109"/>
        <w:gridCol w:w="484"/>
        <w:gridCol w:w="931"/>
        <w:gridCol w:w="250"/>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C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a result of the Class A Conversion discussed in Note 9, </w:t>
      </w:r>
      <w:r>
        <w:rPr>
          <w:rFonts w:ascii="Times New Roman;serif" w:hAnsi="Times New Roman;serif"/>
          <w:b w:val="false"/>
          <w:i/>
          <w:color w:val="000000"/>
          <w:sz w:val="20"/>
        </w:rPr>
        <w:t>Changes in Capital Structure</w:t>
      </w:r>
      <w:r>
        <w:rPr>
          <w:rFonts w:ascii="Times New Roman;serif" w:hAnsi="Times New Roman;serif"/>
          <w:b w:val="false"/>
          <w:color w:val="000000"/>
          <w:sz w:val="20"/>
        </w:rPr>
        <w:t>, the Company no longer has any Class A common stock outstanding, and holders of the Company’s former Class A common stock converted into Class C common stock remain entitled to receive dividends, if declared by the Company, on the same basis as prior to the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declared quarterly dividends on its Class C common stock of $0.4750 per share payable on September 15, 2026 to stockholders of record as of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cash flows for the comparative periods:</w:t>
      </w:r>
    </w:p>
    <w:tbl>
      <w:tblPr>
        <w:tblW w:w="7396" w:type="dxa"/>
        <w:jc w:val="left"/>
        <w:tblInd w:w="0" w:type="dxa"/>
        <w:tblLayout w:type="fixed"/>
        <w:tblCellMar>
          <w:top w:w="28" w:type="dxa"/>
          <w:left w:w="28" w:type="dxa"/>
          <w:bottom w:w="28" w:type="dxa"/>
          <w:right w:w="28" w:type="dxa"/>
        </w:tblCellMar>
      </w:tblPr>
      <w:tblGrid>
        <w:gridCol w:w="1525"/>
        <w:gridCol w:w="1343"/>
        <w:gridCol w:w="1346"/>
        <w:gridCol w:w="225"/>
        <w:gridCol w:w="497"/>
        <w:gridCol w:w="116"/>
        <w:gridCol w:w="116"/>
        <w:gridCol w:w="116"/>
        <w:gridCol w:w="116"/>
        <w:gridCol w:w="225"/>
        <w:gridCol w:w="497"/>
        <w:gridCol w:w="116"/>
        <w:gridCol w:w="109"/>
        <w:gridCol w:w="109"/>
        <w:gridCol w:w="109"/>
        <w:gridCol w:w="211"/>
        <w:gridCol w:w="46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erif" w:hAnsi="Times New Roman;serif"/>
          <w:b/>
          <w:i/>
          <w:color w:val="000000"/>
          <w:sz w:val="20"/>
        </w:rPr>
      </w:pPr>
      <w:r>
        <w:rPr>
          <w:rFonts w:ascii="Times New Roman;serif" w:hAnsi="Times New Roman;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492"/>
        <w:gridCol w:w="2867"/>
        <w:gridCol w:w="2878"/>
        <w:gridCol w:w="245"/>
        <w:gridCol w:w="541"/>
        <w:gridCol w:w="182"/>
      </w:tblGrid>
      <w:tr>
        <w:trPr/>
        <w:tc>
          <w:tcPr>
            <w:tcW w:w="3492"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provided by operating activities were driven by:</w:t>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transferable tax credits in 2026, primarily from the Pine Forest solar and BESS facility, utilized to repay long-term debt and pay distributions to noncontrolling interests (Financing Activities)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Partial buy-down of the Mt. Storm commodity contract in 2025, offset by partial buy-down of the Elbow Creek commodity contract in 2026</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operating income after adjusting for non-cash items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from changes in working capital primarily driven by the timing of accounts receivable collections and payments of current liabilities, including accounts payable and accrued liabilities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from unconsolidated affiliates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tbl>
      <w:tblPr>
        <w:tblW w:w="10205" w:type="dxa"/>
        <w:jc w:val="left"/>
        <w:tblInd w:w="0" w:type="dxa"/>
        <w:tblLayout w:type="fixed"/>
        <w:tblCellMar>
          <w:top w:w="28" w:type="dxa"/>
          <w:left w:w="28" w:type="dxa"/>
          <w:bottom w:w="28" w:type="dxa"/>
          <w:right w:w="28" w:type="dxa"/>
        </w:tblCellMar>
      </w:tblPr>
      <w:tblGrid>
        <w:gridCol w:w="3322"/>
        <w:gridCol w:w="2895"/>
        <w:gridCol w:w="2905"/>
        <w:gridCol w:w="252"/>
        <w:gridCol w:w="644"/>
        <w:gridCol w:w="187"/>
      </w:tblGrid>
      <w:tr>
        <w:trPr/>
        <w:tc>
          <w:tcPr>
            <w:tcW w:w="3322"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used in investing activities were driven by:</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equipment deposits and asset purchases from affiliate in 2026 related to the Goat Mountain repowering</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 in 2026 related to the Cardinal Portfolio JV</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capital expenditures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paid for third party acquisitions, net of cash acquired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paid for Drop Down Assets, net of cash acquired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return of investment from unconsolidated affiliates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erif" w:hAnsi="Times New Roman;serif"/>
          <w:b/>
          <w:i/>
          <w:color w:val="000000"/>
          <w:sz w:val="20"/>
        </w:rPr>
      </w:pPr>
      <w:r>
        <w:rPr>
          <w:rFonts w:ascii="Times New Roman;serif" w:hAnsi="Times New Roman;serif"/>
          <w:b/>
          <w:i/>
          <w:color w:val="000000"/>
          <w:sz w:val="20"/>
        </w:rPr>
        <w:t>Net Cash (Used in) Provided by Financing Activities</w:t>
      </w:r>
    </w:p>
    <w:tbl>
      <w:tblPr>
        <w:tblW w:w="10205" w:type="dxa"/>
        <w:jc w:val="left"/>
        <w:tblInd w:w="0" w:type="dxa"/>
        <w:tblLayout w:type="fixed"/>
        <w:tblCellMar>
          <w:top w:w="28" w:type="dxa"/>
          <w:left w:w="28" w:type="dxa"/>
          <w:bottom w:w="28" w:type="dxa"/>
          <w:right w:w="28" w:type="dxa"/>
        </w:tblCellMar>
      </w:tblPr>
      <w:tblGrid>
        <w:gridCol w:w="3297"/>
        <w:gridCol w:w="2901"/>
        <w:gridCol w:w="2912"/>
        <w:gridCol w:w="254"/>
        <w:gridCol w:w="653"/>
        <w:gridCol w:w="188"/>
      </w:tblGrid>
      <w:tr>
        <w:trPr/>
        <w:tc>
          <w:tcPr>
            <w:tcW w:w="3297"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cash (used in) provided by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to) contributions from noncontrolling interests, net</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payments for the revolving credit facility and decrease in proceeds from the revolving credit facility</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payments of debt issuance costs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dividends paid to common stockholders and distributions paid to CEG unit holders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proceeds from issuance of long-term debt and payments for long-term debt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Class C common stock under the DSPP in 2026</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CEG in 2025</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NOLs, Deferred Tax Assets and Uncertain Tax Position Implications, under ASC 740</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a cumulative federal NOL carryforward balance of $212 million for financial statement purposes, none of which were subject to expiration. Additionally, as of December 31, 2025, the Company had a cumulative state NOL carryforward balance of $100 million for financial statement purposes, which will expire between 2026 and 2042 if unutilized. The Company does not anticipate material income tax payments through 2030. In addition, as of December 31, 2025, the Company had PTC and ITC carryforward balances totaling $18 million, which will expire between 2036 and 2045 if unutilized.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an interest disallowance carryforward of $107 million as a result of Internal Revenue Code §163(j). The disallowed interest deduction has an indefinite carryforward period and any limitations on the utilization of this carryforward have been factored into the Company’s valuation allowance analysis.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after the utilization of various federal and state NOL carryforwards, paid $3 million of federal and state income taxes during the six months ended June 30, 2026 and does not expect to pay material federal or state income taxes for the remainder of the current year. The Company does not anticipate being subject to the corporate minimum tax on financial statement income.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Federal tax legislation enacted on July 4, 2025 contains a number of revisions to the Internal Revenue Code, including adjustments to the business interest expense disallowance calculation, accelerated tax depreciation and business tax credits and incentives for the development of clean energy facilities and production of clean energy, including wind, solar and BESS facilities. These changes did not have a material impact on the Company’s consolidated financial statements and the Company does not anticipate that these changes will have an adverse impact either (i) on the anticipated pipeline of facilities being developed by the Company’s sponsor, CEG, through at least 2030 or (ii) on the operation of facilities owned and operated by the Company. The Company will continue to monitor future guidance issued by the United States Department of the Treasury to assess for potential impacts on its consolidated financial statements.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examination by taxing authorities for income tax returns filed in the U.S. federal and various state jurisdictions. All tax returns filed by the Company for the year ended December 31, 2013 and forward remain subject to audit. As of December 31, 2025, the U.S. federal partnership returns of two of the Company’s subsidiaries are under audit by the IRS. The Company and its subsidiaries are also periodically subject to various state tax audits, including one current audit as a result of filing an amended return in order to pursue a potential California tax refund. The IRS has not yet issued any proposed adjustments with respect to the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an unrecognized tax benefit of $19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based on their level within the fair value hierarchy defined in ASC 820; and indicate the maturities of contracts at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For a full discussion of the Company’s valuation methodology of its contracts, see </w:t>
      </w:r>
      <w:r>
        <w:rPr>
          <w:rFonts w:ascii="Times New Roman;serif" w:hAnsi="Times New Roman;serif"/>
          <w:b w:val="false"/>
          <w:i/>
          <w:color w:val="231F20"/>
          <w:sz w:val="20"/>
        </w:rPr>
        <w:t xml:space="preserve">Derivative Fair Value Measurements </w:t>
      </w:r>
      <w:r>
        <w:rPr>
          <w:rFonts w:ascii="Times New Roman;serif" w:hAnsi="Times New Roman;serif"/>
          <w:b w:val="false"/>
          <w:color w:val="231F20"/>
          <w:sz w:val="20"/>
        </w:rPr>
        <w:t xml:space="preserve">in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w:t>
      </w:r>
    </w:p>
    <w:tbl>
      <w:tblPr>
        <w:tblW w:w="6810" w:type="dxa"/>
        <w:jc w:val="left"/>
        <w:tblInd w:w="0" w:type="dxa"/>
        <w:tblLayout w:type="fixed"/>
        <w:tblCellMar>
          <w:top w:w="28" w:type="dxa"/>
          <w:left w:w="28" w:type="dxa"/>
          <w:bottom w:w="28" w:type="dxa"/>
          <w:right w:w="28" w:type="dxa"/>
        </w:tblCellMar>
      </w:tblPr>
      <w:tblGrid>
        <w:gridCol w:w="2071"/>
        <w:gridCol w:w="1819"/>
        <w:gridCol w:w="1825"/>
        <w:gridCol w:w="255"/>
        <w:gridCol w:w="654"/>
        <w:gridCol w:w="186"/>
      </w:tblGrid>
      <w:tr>
        <w:trPr/>
        <w:tc>
          <w:tcPr>
            <w:tcW w:w="20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December 31, 2025</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realized, restructured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added during the period</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June 30, 2026</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53</w:t>
                      </w:r>
                    </w:p>
                  </w:txbxContent>
                </v:textbox>
                <w10:wrap type="none"/>
              </v:rect>
            </w:pict>
          </mc:Fallback>
        </mc:AlternateContent>
      </w:r>
    </w:p>
    <w:p>
      <w:pPr>
        <w:pStyle w:val="TextBody"/>
        <w:bidi w:val="0"/>
        <w:spacing w:before="0" w:after="180"/>
        <w:jc w:val="both"/>
        <w:rPr/>
      </w:pPr>
      <w:r>
        <w:rPr/>
      </w:r>
    </w:p>
    <w:tbl>
      <w:tblPr>
        <w:tblW w:w="10094" w:type="dxa"/>
        <w:jc w:val="left"/>
        <w:tblInd w:w="0" w:type="dxa"/>
        <w:tblLayout w:type="fixed"/>
        <w:tblCellMar>
          <w:top w:w="28" w:type="dxa"/>
          <w:left w:w="28" w:type="dxa"/>
          <w:bottom w:w="28" w:type="dxa"/>
          <w:right w:w="28" w:type="dxa"/>
        </w:tblCellMar>
      </w:tblPr>
      <w:tblGrid>
        <w:gridCol w:w="1003"/>
        <w:gridCol w:w="882"/>
        <w:gridCol w:w="889"/>
        <w:gridCol w:w="358"/>
        <w:gridCol w:w="612"/>
        <w:gridCol w:w="185"/>
        <w:gridCol w:w="109"/>
        <w:gridCol w:w="109"/>
        <w:gridCol w:w="109"/>
        <w:gridCol w:w="374"/>
        <w:gridCol w:w="827"/>
        <w:gridCol w:w="193"/>
        <w:gridCol w:w="109"/>
        <w:gridCol w:w="109"/>
        <w:gridCol w:w="109"/>
        <w:gridCol w:w="406"/>
        <w:gridCol w:w="839"/>
        <w:gridCol w:w="209"/>
        <w:gridCol w:w="109"/>
        <w:gridCol w:w="109"/>
        <w:gridCol w:w="109"/>
        <w:gridCol w:w="310"/>
        <w:gridCol w:w="640"/>
        <w:gridCol w:w="160"/>
        <w:gridCol w:w="109"/>
        <w:gridCol w:w="109"/>
        <w:gridCol w:w="109"/>
        <w:gridCol w:w="228"/>
        <w:gridCol w:w="505"/>
        <w:gridCol w:w="166"/>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contracts as of June 30, 2026</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u w:val="single"/>
              </w:rPr>
            </w:pPr>
            <w:r>
              <w:rPr>
                <w:rFonts w:ascii="Times New Roman;serif" w:hAnsi="Times New Roman;serif"/>
                <w:b/>
                <w:color w:val="000000"/>
                <w:sz w:val="16"/>
                <w:u w:val="single"/>
              </w:rPr>
              <w:t>Fair Value Hierarchy (Losses) Gains</w:t>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Fair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and determining the fair value of financial instruments.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Recent Accounting Developments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 Quantitative and Qualitative Disclosures About Market Risk </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erif" w:hAnsi="Times New Roman;serif"/>
          <w:b w:val="false"/>
          <w:color w:val="000000"/>
          <w:sz w:val="20"/>
        </w:rPr>
        <w:t>The following disclosures about market risk provide an update to, and should be read in conjunction with, Item 7A —</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of the Company’s 2025 Form 10-K.</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Commodity Price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Based on a sensitivity analysis using simplified assumptions, the impact of a $0.50 per MWh increase or decrease in power prices across the term of the long-term power commodity contracts would cause a change of approximately $1 million to the net value of the related derivatives as of June 30, 2026.</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Interest Rate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erif" w:hAnsi="Times New Roman;serif"/>
          <w:b w:val="false"/>
          <w:color w:val="000000"/>
          <w:sz w:val="20"/>
        </w:rPr>
        <w:t>Note 6</w:t>
      </w:r>
      <w:r>
        <w:rPr>
          <w:rFonts w:ascii="Times New Roman;serif" w:hAnsi="Times New Roman;serif"/>
          <w:b w:val="false"/>
          <w:color w:val="231F20"/>
          <w:sz w:val="20"/>
        </w:rPr>
        <w:t xml:space="preserve">, </w:t>
      </w:r>
      <w:r>
        <w:rPr>
          <w:rFonts w:ascii="Times New Roman;serif" w:hAnsi="Times New Roman;serif"/>
          <w:b w:val="false"/>
          <w:i/>
          <w:color w:val="000000"/>
          <w:sz w:val="20"/>
        </w:rPr>
        <w:t>Derivative Instruments and Hedging Activities</w:t>
      </w:r>
      <w:r>
        <w:rPr>
          <w:rFonts w:ascii="Times New Roman;serif" w:hAnsi="Times New Roman;serif"/>
          <w:b w:val="false"/>
          <w:color w:val="231F20"/>
          <w:sz w:val="20"/>
        </w:rPr>
        <w:t>, for more information.</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serif" w:hAnsi="Times New Roman;serif"/>
          <w:b w:val="false"/>
          <w:color w:val="000000"/>
          <w:sz w:val="20"/>
        </w:rPr>
        <w:t>Note 10</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i/>
          <w:color w:val="231F20"/>
          <w:sz w:val="20"/>
        </w:rPr>
        <w:t xml:space="preserve">, </w:t>
      </w:r>
      <w:r>
        <w:rPr>
          <w:rFonts w:ascii="Times New Roman;serif" w:hAnsi="Times New Roman;serif"/>
          <w:b w:val="false"/>
          <w:color w:val="231F20"/>
          <w:sz w:val="20"/>
        </w:rPr>
        <w:t xml:space="preserve">to the Company’s </w:t>
      </w:r>
      <w:r>
        <w:rPr>
          <w:rFonts w:ascii="Times New Roman;serif" w:hAnsi="Times New Roman;serif"/>
          <w:b w:val="false"/>
          <w:color w:val="000000"/>
          <w:sz w:val="20"/>
        </w:rPr>
        <w:t>audited consolidated financial statements for the year ended December 31, 2025 included in the 2025 Form 10-K</w:t>
      </w:r>
      <w:r>
        <w:rPr>
          <w:color w:val="231F20"/>
        </w:rPr>
        <w:t xml:space="preserve"> </w:t>
      </w:r>
      <w:r>
        <w:rPr>
          <w:rFonts w:ascii="Times New Roman;serif" w:hAnsi="Times New Roman;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If all of the interest rate swaps had been discontinued on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counterparties would have owed the Company </w:t>
      </w:r>
      <w:r>
        <w:rPr>
          <w:rFonts w:ascii="Times New Roman;serif" w:hAnsi="Times New Roman;serif"/>
          <w:b w:val="false"/>
          <w:color w:val="000000"/>
          <w:sz w:val="20"/>
        </w:rPr>
        <w:t>$158 million.</w:t>
      </w:r>
      <w:r>
        <w:rPr>
          <w:color w:val="231F20"/>
        </w:rPr>
        <w:t xml:space="preserve"> </w:t>
      </w:r>
      <w:r>
        <w:rPr>
          <w:rFonts w:ascii="Times New Roman;serif" w:hAnsi="Times New Roman;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has long-term debt instruments that subject it to the risk of loss associated with movements in market interest rates. As of </w:t>
      </w:r>
      <w:r>
        <w:rPr>
          <w:rFonts w:ascii="Times New Roman;serif" w:hAnsi="Times New Roman;serif"/>
          <w:b w:val="false"/>
          <w:color w:val="000000"/>
          <w:sz w:val="20"/>
        </w:rPr>
        <w:t>June 30, 2026</w:t>
      </w:r>
      <w:r>
        <w:rPr>
          <w:rFonts w:ascii="Times New Roman;serif" w:hAnsi="Times New Roman;serif"/>
          <w:b w:val="false"/>
          <w:color w:val="231F20"/>
          <w:sz w:val="20"/>
        </w:rPr>
        <w:t>, a change of 1%, or 100 basis points, in interest rates would result in an approximately $3 million change in market interest expense on a rolling twelve-month basis.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the fair value of the Company’s debt was $8,787 million and the carrying value was $9,141 million. The Company estimates that a decrease of 1%, or 100 basis points, in market interest rates would have increased the fair value of its long-term debt by approximately $317 million.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Liquidity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Counterparty Credit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0" w:after="180"/>
        <w:jc w:val="both"/>
        <w:rPr/>
      </w:pPr>
      <w:r>
        <w:rPr>
          <w:rFonts w:ascii="Times New Roman;serif" w:hAnsi="Times New Roman;serif"/>
          <w:b w:val="false"/>
          <w:i/>
          <w:color w:val="000000"/>
          <w:sz w:val="20"/>
        </w:rPr>
        <w:t>Evaluation of Disclosure Controls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Procedures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effective as of the end of the period covered by this Quarterly Report on Form 10-Q.</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there were changes in internal control over financial reporting, specifically, modifications to certain existing internal controls and implementation of new controls and procedures as a result of CEG’s successful implementation of a new enterprise resource planning, or ERP, application to support its core business processes and data. The Company continues to evaluate the operating effectiveness of impacted internal controls and will continue to monitor and refine its internal control environment as appropriate.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than the matter described above, there were no changes in the Company’s internal control over financial reporting (as such term is defined in Rule 13a-15(f) under the Exchange Act) during the quarter ended June 30, 2026 that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1 — LEGAL PROCEEDINGS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Information regarding risk factors appears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Company’s 2025 Form 10-K. There have been no material changes in the Company’s risk factors since those reported in its 2025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 DEFAULTS UPON SENIOR SECURITIES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Insider Trading Plans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of the Exchange Act) of the Company adopted, modified or terminated a “Rule 10b5-1 trading arrangement” or “non-Rule 10b5-1 trading arrangement,” as each term is defined in Item 408(a)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57</w:t>
                      </w:r>
                    </w:p>
                  </w:txbxContent>
                </v:textbox>
                <w10:wrap type="none"/>
              </v:rect>
            </w:pict>
          </mc:Fallback>
        </mc:AlternateContent>
      </w:r>
    </w:p>
    <w:p>
      <w:pPr>
        <w:pStyle w:val="TextBody"/>
        <w:bidi w:val="0"/>
        <w:spacing w:before="0" w:after="180"/>
        <w:jc w:val="both"/>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566"/>
        <w:gridCol w:w="1566"/>
        <w:gridCol w:w="1584"/>
        <w:gridCol w:w="109"/>
        <w:gridCol w:w="109"/>
        <w:gridCol w:w="109"/>
        <w:gridCol w:w="1352"/>
        <w:gridCol w:w="1246"/>
        <w:gridCol w:w="1197"/>
        <w:gridCol w:w="109"/>
        <w:gridCol w:w="159"/>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Restated Certificate of Incorporation of Clearway Energy,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3.3 to the Company’s Current Report on Form 8-K filed on May 1,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Indenture, dated as of January 13, 2026, by and among Clearway Energy Operating LLC, the guarantors named therein and CSC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4.1 to the Company’s Current Report on Form 8-K filed on January 13,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Form of 5.750% Senior Notes due 2034.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4.2 to the Company’s Current Report on Form 8-K filed on January 13,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Fifth Amended and Restated Limited Liability Company Agreement of Clearway Energy LLC, dated as of May 1, 2026, by and between Clearway Energy, Inc.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4.1 to the Company’s Current Report on Form 8-K filed on May 1,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Voting Trust Agreement, dated as of April 29, 2026, by and between Clearway Energy Group LLC and Wilmington Trust, National Association, as voting trustee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9.1 to the Company’s Registration Statement on Form 8-A/A filed on April 29, 2026 (File No. 001-36002).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Third Amended and Restated Exchange Agreement, dated as of April 1, 2026, by and among Clearway Energy, Inc., Clearway Energy LLC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10.1 to the Company’s Current Report on Form 8-K filed on April 2,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110-q2026q2.htm">
              <w:r>
                <w:rPr>
                  <w:rStyle w:val="InternetLink"/>
                  <w:rFonts w:ascii="Times New Roman;serif" w:hAnsi="Times New Roman;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210-q2026q2.htm">
              <w:r>
                <w:rPr>
                  <w:rStyle w:val="InternetLink"/>
                  <w:rFonts w:ascii="Times New Roman;serif" w:hAnsi="Times New Roman;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210-q2026q2.htm">
              <w:r>
                <w:rPr>
                  <w:rStyle w:val="InternetLink"/>
                  <w:rFonts w:ascii="Times New Roman;serif" w:hAnsi="Times New Roman;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xml:space="preserve">† </w:t>
      </w:r>
      <w:r>
        <w:rPr>
          <w:rFonts w:ascii="Times New Roman;serif" w:hAnsi="Times New Roman;serif"/>
          <w:b w:val="false"/>
          <w:color w:val="000000"/>
          <w:sz w:val="18"/>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58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37" w:type="dxa"/>
        <w:jc w:val="center"/>
        <w:tblInd w:w="0" w:type="dxa"/>
        <w:tblLayout w:type="fixed"/>
        <w:tblCellMar>
          <w:top w:w="28" w:type="dxa"/>
          <w:left w:w="28" w:type="dxa"/>
          <w:bottom w:w="28" w:type="dxa"/>
          <w:right w:w="28" w:type="dxa"/>
        </w:tblCellMar>
      </w:tblPr>
      <w:tblGrid>
        <w:gridCol w:w="667"/>
        <w:gridCol w:w="587"/>
        <w:gridCol w:w="590"/>
        <w:gridCol w:w="589"/>
        <w:gridCol w:w="589"/>
        <w:gridCol w:w="589"/>
        <w:gridCol w:w="589"/>
        <w:gridCol w:w="589"/>
        <w:gridCol w:w="589"/>
        <w:gridCol w:w="589"/>
        <w:gridCol w:w="589"/>
        <w:gridCol w:w="6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w:t>
              <w:br/>
              <w:t>(Registrant)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59</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Clearway Energy, Inc.;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Craig Cornelius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Clearway Energy,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Sarah Rubenstein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Clearway Energy, Inc. on Form 10-Q for the quarter ended June 30, 2026,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67683/000110465926053557/tm2613249d1_ex3-3.htm" TargetMode="External"/><Relationship Id="rId4" Type="http://schemas.openxmlformats.org/officeDocument/2006/relationships/hyperlink" Target="https://www.sec.gov/Archives/edgar/data/1567683/000110465926003322/tm262986d1_ex4-1.htm" TargetMode="External"/><Relationship Id="rId5" Type="http://schemas.openxmlformats.org/officeDocument/2006/relationships/hyperlink" Target="https://www.sec.gov/Archives/edgar/data/1567683/000110465926003322/tm262986d1_ex4-1.htm" TargetMode="External"/><Relationship Id="rId6" Type="http://schemas.openxmlformats.org/officeDocument/2006/relationships/hyperlink" Target="https://www.sec.gov/Archives/edgar/data/1567683/000110465926053557/tm2613249d1_ex4-1.htm" TargetMode="External"/><Relationship Id="rId7" Type="http://schemas.openxmlformats.org/officeDocument/2006/relationships/hyperlink" Target="https://www.sec.gov/Archives/edgar/data/1567683/000110465926051683/tm2612967d1_ex9-1.htm" TargetMode="External"/><Relationship Id="rId8" Type="http://schemas.openxmlformats.org/officeDocument/2006/relationships/hyperlink" Target="https://www.sec.gov/Archives/edgar/data/1567683/000110465926038738/tm2610634d1_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26234</Words>
  <Characters>143031</Characters>
  <CharactersWithSpaces>166737</CharactersWithSpaces>
  <Paragraphs>4605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