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191770</wp:posOffset>
            </wp:positionH>
            <wp:positionV relativeFrom="page">
              <wp:posOffset>594995</wp:posOffset>
            </wp:positionV>
            <wp:extent cx="72123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12330" cy="8890"/>
                    </a:xfrm>
                    <a:prstGeom prst="rect">
                      <a:avLst/>
                    </a:prstGeom>
                    <a:noFill/>
                  </pic:spPr>
                </pic:pic>
              </a:graphicData>
            </a:graphic>
          </wp:anchor>
        </w:drawing>
        <w:drawing>
          <wp:anchor simplePos="0" relativeHeight="251657728" behindDoc="1" locked="0" layoutInCell="0" allowOverlap="1">
            <wp:simplePos x="0" y="0"/>
            <wp:positionH relativeFrom="page">
              <wp:posOffset>191770</wp:posOffset>
            </wp:positionH>
            <wp:positionV relativeFrom="page">
              <wp:posOffset>612140</wp:posOffset>
            </wp:positionV>
            <wp:extent cx="7212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1233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68" w:lineRule="exact"/>
        <w:rPr>
          <w:sz w:val="24"/>
          <w:szCs w:val="24"/>
          <w:color w:val="auto"/>
        </w:rPr>
      </w:pPr>
    </w:p>
    <w:p>
      <w:pPr>
        <w:jc w:val="center"/>
        <w:ind w:right="-19"/>
        <w:spacing w:after="0" w:line="368" w:lineRule="exact"/>
        <w:rPr>
          <w:sz w:val="20"/>
          <w:szCs w:val="20"/>
          <w:color w:val="auto"/>
        </w:rPr>
      </w:pPr>
      <w:r>
        <w:rPr>
          <w:rFonts w:ascii="Arial" w:cs="Arial" w:eastAsia="Arial" w:hAnsi="Arial"/>
          <w:sz w:val="32"/>
          <w:szCs w:val="32"/>
          <w:b w:val="1"/>
          <w:bCs w:val="1"/>
          <w:color w:val="auto"/>
        </w:rPr>
        <w:t>FORM 8</w:t>
      </w:r>
      <w:r>
        <w:rPr>
          <w:rFonts w:ascii="MS PGothic" w:cs="MS PGothic" w:eastAsia="MS PGothic" w:hAnsi="MS PGothic"/>
          <w:sz w:val="32"/>
          <w:szCs w:val="32"/>
          <w:color w:val="auto"/>
        </w:rPr>
        <w:t>‑</w:t>
      </w:r>
      <w:r>
        <w:rPr>
          <w:rFonts w:ascii="Arial" w:cs="Arial" w:eastAsia="Arial" w:hAnsi="Arial"/>
          <w:sz w:val="32"/>
          <w:szCs w:val="32"/>
          <w:b w:val="1"/>
          <w:bCs w:val="1"/>
          <w:color w:val="auto"/>
        </w:rPr>
        <w:t>K</w:t>
      </w:r>
    </w:p>
    <w:p>
      <w:pPr>
        <w:spacing w:after="0" w:line="43"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CURRENT REPORT</w:t>
      </w:r>
    </w:p>
    <w:p>
      <w:pPr>
        <w:spacing w:after="0" w:line="391"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1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June 19, 2019</w:t>
      </w: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CLEARWAY ENERGY,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60"/>
          </w:cols>
          <w:pgMar w:left="300" w:top="1013" w:right="239" w:bottom="1440" w:gutter="0" w:footer="0" w:header="0"/>
        </w:sectPr>
      </w:pPr>
    </w:p>
    <w:p>
      <w:pPr>
        <w:spacing w:after="0" w:line="9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left="4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jc w:val="center"/>
        <w:ind w:right="720"/>
        <w:spacing w:after="0" w:line="207" w:lineRule="exact"/>
        <w:rPr>
          <w:sz w:val="20"/>
          <w:szCs w:val="20"/>
          <w:color w:val="auto"/>
        </w:rPr>
      </w:pPr>
      <w:r>
        <w:rPr>
          <w:rFonts w:ascii="Arial" w:cs="Arial" w:eastAsia="Arial" w:hAnsi="Arial"/>
          <w:sz w:val="18"/>
          <w:szCs w:val="18"/>
          <w:b w:val="1"/>
          <w:bCs w:val="1"/>
          <w:color w:val="auto"/>
        </w:rPr>
        <w:t>001</w:t>
      </w:r>
      <w:r>
        <w:rPr>
          <w:rFonts w:ascii="MS PGothic" w:cs="MS PGothic" w:eastAsia="MS PGothic" w:hAnsi="MS PGothic"/>
          <w:sz w:val="18"/>
          <w:szCs w:val="18"/>
          <w:color w:val="auto"/>
        </w:rPr>
        <w:t>‑</w:t>
      </w:r>
      <w:r>
        <w:rPr>
          <w:rFonts w:ascii="Arial" w:cs="Arial" w:eastAsia="Arial" w:hAnsi="Arial"/>
          <w:sz w:val="18"/>
          <w:szCs w:val="18"/>
          <w:b w:val="1"/>
          <w:bCs w:val="1"/>
          <w:color w:val="auto"/>
        </w:rPr>
        <w:t>36002</w:t>
      </w:r>
    </w:p>
    <w:p>
      <w:pPr>
        <w:spacing w:after="0" w:line="27" w:lineRule="exact"/>
        <w:rPr>
          <w:sz w:val="24"/>
          <w:szCs w:val="24"/>
          <w:color w:val="auto"/>
        </w:rPr>
      </w:pPr>
    </w:p>
    <w:p>
      <w:pPr>
        <w:jc w:val="center"/>
        <w:ind w:right="6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ind w:left="760"/>
        <w:spacing w:after="0"/>
        <w:rPr>
          <w:sz w:val="20"/>
          <w:szCs w:val="20"/>
          <w:color w:val="auto"/>
        </w:rPr>
      </w:pPr>
      <w:r>
        <w:rPr>
          <w:rFonts w:ascii="Arial" w:cs="Arial" w:eastAsia="Arial" w:hAnsi="Arial"/>
          <w:sz w:val="18"/>
          <w:szCs w:val="18"/>
          <w:b w:val="1"/>
          <w:bCs w:val="1"/>
          <w:color w:val="auto"/>
        </w:rPr>
        <w:t>46-1777204</w:t>
      </w:r>
    </w:p>
    <w:p>
      <w:pPr>
        <w:spacing w:after="0" w:line="27" w:lineRule="exact"/>
        <w:rPr>
          <w:sz w:val="24"/>
          <w:szCs w:val="24"/>
          <w:color w:val="auto"/>
        </w:rPr>
      </w:pPr>
    </w:p>
    <w:p>
      <w:pPr>
        <w:spacing w:after="0"/>
        <w:rPr>
          <w:sz w:val="20"/>
          <w:szCs w:val="20"/>
          <w:color w:val="auto"/>
        </w:rPr>
      </w:pPr>
      <w:r>
        <w:rPr>
          <w:rFonts w:ascii="Arial" w:cs="Arial" w:eastAsia="Arial" w:hAnsi="Arial"/>
          <w:sz w:val="17"/>
          <w:szCs w:val="17"/>
          <w:color w:val="auto"/>
        </w:rPr>
        <w:t>(IRS Employer Identification No.)</w:t>
      </w:r>
    </w:p>
    <w:p>
      <w:pPr>
        <w:spacing w:after="0" w:line="110" w:lineRule="exact"/>
        <w:rPr>
          <w:sz w:val="24"/>
          <w:szCs w:val="24"/>
          <w:color w:val="auto"/>
        </w:rPr>
      </w:pPr>
    </w:p>
    <w:p>
      <w:pPr>
        <w:sectPr>
          <w:pgSz w:w="11900" w:h="16838" w:orient="portrait"/>
          <w:cols w:equalWidth="0" w:num="3">
            <w:col w:w="4120" w:space="720"/>
            <w:col w:w="2660" w:space="720"/>
            <w:col w:w="3140"/>
          </w:cols>
          <w:pgMar w:left="300" w:top="1013" w:right="239" w:bottom="1440" w:gutter="0" w:footer="0" w:header="0"/>
          <w:type w:val="continuous"/>
        </w:sectPr>
      </w:pPr>
    </w:p>
    <w:p>
      <w:pPr>
        <w:ind w:left="3360"/>
        <w:spacing w:after="0"/>
        <w:rPr>
          <w:sz w:val="20"/>
          <w:szCs w:val="20"/>
          <w:color w:val="auto"/>
        </w:rPr>
      </w:pPr>
      <w:r>
        <w:rPr>
          <w:rFonts w:ascii="Arial" w:cs="Arial" w:eastAsia="Arial" w:hAnsi="Arial"/>
          <w:sz w:val="18"/>
          <w:szCs w:val="18"/>
          <w:b w:val="1"/>
          <w:bCs w:val="1"/>
          <w:color w:val="auto"/>
        </w:rPr>
        <w:t>300 Carnegie Center, Suite 300, Princeton, New Jersey 08540</w:t>
      </w:r>
    </w:p>
    <w:p>
      <w:pPr>
        <w:spacing w:after="0" w:line="27" w:lineRule="exact"/>
        <w:rPr>
          <w:sz w:val="24"/>
          <w:szCs w:val="24"/>
          <w:color w:val="auto"/>
        </w:rPr>
      </w:pPr>
    </w:p>
    <w:p>
      <w:pPr>
        <w:ind w:left="3580"/>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99" w:lineRule="exact"/>
        <w:rPr>
          <w:sz w:val="24"/>
          <w:szCs w:val="24"/>
          <w:color w:val="auto"/>
        </w:rPr>
      </w:pPr>
    </w:p>
    <w:p>
      <w:pPr>
        <w:jc w:val="center"/>
        <w:ind w:right="-19"/>
        <w:spacing w:after="0" w:line="207" w:lineRule="exact"/>
        <w:rPr>
          <w:sz w:val="20"/>
          <w:szCs w:val="20"/>
          <w:color w:val="auto"/>
        </w:rPr>
      </w:pPr>
      <w:r>
        <w:rPr>
          <w:rFonts w:ascii="Arial" w:cs="Arial" w:eastAsia="Arial" w:hAnsi="Arial"/>
          <w:sz w:val="18"/>
          <w:szCs w:val="18"/>
          <w:b w:val="1"/>
          <w:bCs w:val="1"/>
          <w:color w:val="auto"/>
        </w:rPr>
        <w:t>(609) 608</w:t>
      </w:r>
      <w:r>
        <w:rPr>
          <w:rFonts w:ascii="MS PGothic" w:cs="MS PGothic" w:eastAsia="MS PGothic" w:hAnsi="MS PGothic"/>
          <w:sz w:val="18"/>
          <w:szCs w:val="18"/>
          <w:color w:val="auto"/>
        </w:rPr>
        <w:t>‑</w:t>
      </w:r>
      <w:r>
        <w:rPr>
          <w:rFonts w:ascii="Arial" w:cs="Arial" w:eastAsia="Arial" w:hAnsi="Arial"/>
          <w:sz w:val="18"/>
          <w:szCs w:val="18"/>
          <w:b w:val="1"/>
          <w:bCs w:val="1"/>
          <w:color w:val="auto"/>
        </w:rPr>
        <w:t>1525</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(Registrant’s telephone number, including area code)</w:t>
      </w:r>
    </w:p>
    <w:p>
      <w:pPr>
        <w:spacing w:after="0" w:line="9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70" w:lineRule="exact"/>
        <w:rPr>
          <w:sz w:val="24"/>
          <w:szCs w:val="24"/>
          <w:color w:val="auto"/>
        </w:rPr>
      </w:pPr>
    </w:p>
    <w:p>
      <w:pPr>
        <w:ind w:left="80" w:right="720"/>
        <w:spacing w:after="0" w:line="223" w:lineRule="exact"/>
        <w:rPr>
          <w:sz w:val="20"/>
          <w:szCs w:val="20"/>
          <w:color w:val="auto"/>
        </w:rPr>
      </w:pPr>
      <w:r>
        <w:rPr>
          <w:rFonts w:ascii="Arial" w:cs="Arial" w:eastAsia="Arial" w:hAnsi="Arial"/>
          <w:sz w:val="18"/>
          <w:szCs w:val="18"/>
          <w:color w:val="auto"/>
        </w:rPr>
        <w:t>Check the appropriate box below if the Form 8</w:t>
      </w:r>
      <w:r>
        <w:rPr>
          <w:rFonts w:ascii="MS PGothic" w:cs="MS PGothic" w:eastAsia="MS PGothic" w:hAnsi="MS PGothic"/>
          <w:sz w:val="18"/>
          <w:szCs w:val="18"/>
          <w:color w:val="auto"/>
        </w:rPr>
        <w:t>‑</w:t>
      </w:r>
      <w:r>
        <w:rPr>
          <w:rFonts w:ascii="Arial" w:cs="Arial" w:eastAsia="Arial" w:hAnsi="Arial"/>
          <w:sz w:val="18"/>
          <w:szCs w:val="18"/>
          <w:color w:val="auto"/>
        </w:rPr>
        <w:t>K filing is intended to simultaneously satisfy the filing obligation of the registrant under any of the following provisions:</w:t>
      </w:r>
    </w:p>
    <w:p>
      <w:pPr>
        <w:spacing w:after="0" w:line="1" w:lineRule="exact"/>
        <w:rPr>
          <w:sz w:val="24"/>
          <w:szCs w:val="24"/>
          <w:color w:val="auto"/>
        </w:rPr>
      </w:pPr>
    </w:p>
    <w:p>
      <w:pPr>
        <w:ind w:left="180" w:hanging="97"/>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9" w:lineRule="exact"/>
        <w:rPr>
          <w:rFonts w:ascii="Arial" w:cs="Arial" w:eastAsia="Arial" w:hAnsi="Arial"/>
          <w:sz w:val="18"/>
          <w:szCs w:val="18"/>
          <w:color w:val="auto"/>
        </w:rPr>
      </w:pPr>
    </w:p>
    <w:p>
      <w:pPr>
        <w:ind w:left="180" w:hanging="97"/>
        <w:spacing w:after="0" w:line="207" w:lineRule="exact"/>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w:t>
      </w:r>
      <w:r>
        <w:rPr>
          <w:rFonts w:ascii="MS PGothic" w:cs="MS PGothic" w:eastAsia="MS PGothic" w:hAnsi="MS PGothic"/>
          <w:sz w:val="18"/>
          <w:szCs w:val="18"/>
          <w:color w:val="auto"/>
        </w:rPr>
        <w:t>‑</w:t>
      </w:r>
      <w:r>
        <w:rPr>
          <w:rFonts w:ascii="Arial" w:cs="Arial" w:eastAsia="Arial" w:hAnsi="Arial"/>
          <w:sz w:val="18"/>
          <w:szCs w:val="18"/>
          <w:color w:val="auto"/>
        </w:rPr>
        <w:t>12 under the Exchange Act (17 CFR 240.14a</w:t>
      </w:r>
      <w:r>
        <w:rPr>
          <w:rFonts w:ascii="MS PGothic" w:cs="MS PGothic" w:eastAsia="MS PGothic" w:hAnsi="MS PGothic"/>
          <w:sz w:val="18"/>
          <w:szCs w:val="18"/>
          <w:color w:val="auto"/>
        </w:rPr>
        <w:t>‑</w:t>
      </w:r>
      <w:r>
        <w:rPr>
          <w:rFonts w:ascii="Arial" w:cs="Arial" w:eastAsia="Arial" w:hAnsi="Arial"/>
          <w:sz w:val="18"/>
          <w:szCs w:val="18"/>
          <w:color w:val="auto"/>
        </w:rPr>
        <w:t>12)</w:t>
      </w:r>
    </w:p>
    <w:p>
      <w:pPr>
        <w:spacing w:after="0" w:line="9" w:lineRule="exact"/>
        <w:rPr>
          <w:rFonts w:ascii="Arial" w:cs="Arial" w:eastAsia="Arial" w:hAnsi="Arial"/>
          <w:sz w:val="18"/>
          <w:szCs w:val="18"/>
          <w:color w:val="auto"/>
        </w:rPr>
      </w:pPr>
    </w:p>
    <w:p>
      <w:pPr>
        <w:ind w:left="180" w:hanging="97"/>
        <w:spacing w:after="0" w:line="207" w:lineRule="exact"/>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w:t>
      </w:r>
      <w:r>
        <w:rPr>
          <w:rFonts w:ascii="MS PGothic" w:cs="MS PGothic" w:eastAsia="MS PGothic" w:hAnsi="MS PGothic"/>
          <w:sz w:val="18"/>
          <w:szCs w:val="18"/>
          <w:color w:val="auto"/>
        </w:rPr>
        <w:t>‑</w:t>
      </w:r>
      <w:r>
        <w:rPr>
          <w:rFonts w:ascii="Arial" w:cs="Arial" w:eastAsia="Arial" w:hAnsi="Arial"/>
          <w:sz w:val="18"/>
          <w:szCs w:val="18"/>
          <w:color w:val="auto"/>
        </w:rPr>
        <w:t>commencement communications pursuant to Rule 14d</w:t>
      </w:r>
      <w:r>
        <w:rPr>
          <w:rFonts w:ascii="MS PGothic" w:cs="MS PGothic" w:eastAsia="MS PGothic" w:hAnsi="MS PGothic"/>
          <w:sz w:val="18"/>
          <w:szCs w:val="18"/>
          <w:color w:val="auto"/>
        </w:rPr>
        <w:t>‑</w:t>
      </w:r>
      <w:r>
        <w:rPr>
          <w:rFonts w:ascii="Arial" w:cs="Arial" w:eastAsia="Arial" w:hAnsi="Arial"/>
          <w:sz w:val="18"/>
          <w:szCs w:val="18"/>
          <w:color w:val="auto"/>
        </w:rPr>
        <w:t>2(b) under the Exchange Act (17 CFR 240.14d</w:t>
      </w:r>
      <w:r>
        <w:rPr>
          <w:rFonts w:ascii="MS PGothic" w:cs="MS PGothic" w:eastAsia="MS PGothic" w:hAnsi="MS PGothic"/>
          <w:sz w:val="18"/>
          <w:szCs w:val="18"/>
          <w:color w:val="auto"/>
        </w:rPr>
        <w:t>‑</w:t>
      </w:r>
      <w:r>
        <w:rPr>
          <w:rFonts w:ascii="Arial" w:cs="Arial" w:eastAsia="Arial" w:hAnsi="Arial"/>
          <w:sz w:val="18"/>
          <w:szCs w:val="18"/>
          <w:color w:val="auto"/>
        </w:rPr>
        <w:t>2(b))</w:t>
      </w:r>
    </w:p>
    <w:p>
      <w:pPr>
        <w:spacing w:after="0" w:line="9" w:lineRule="exact"/>
        <w:rPr>
          <w:rFonts w:ascii="Arial" w:cs="Arial" w:eastAsia="Arial" w:hAnsi="Arial"/>
          <w:sz w:val="18"/>
          <w:szCs w:val="18"/>
          <w:color w:val="auto"/>
        </w:rPr>
      </w:pPr>
    </w:p>
    <w:p>
      <w:pPr>
        <w:ind w:left="180" w:hanging="97"/>
        <w:spacing w:after="0" w:line="207" w:lineRule="exact"/>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w:t>
      </w:r>
      <w:r>
        <w:rPr>
          <w:rFonts w:ascii="MS PGothic" w:cs="MS PGothic" w:eastAsia="MS PGothic" w:hAnsi="MS PGothic"/>
          <w:sz w:val="18"/>
          <w:szCs w:val="18"/>
          <w:color w:val="auto"/>
        </w:rPr>
        <w:t>‑</w:t>
      </w:r>
      <w:r>
        <w:rPr>
          <w:rFonts w:ascii="Arial" w:cs="Arial" w:eastAsia="Arial" w:hAnsi="Arial"/>
          <w:sz w:val="18"/>
          <w:szCs w:val="18"/>
          <w:color w:val="auto"/>
        </w:rPr>
        <w:t>commencement communications pursuant to Rule 13e</w:t>
      </w:r>
      <w:r>
        <w:rPr>
          <w:rFonts w:ascii="MS PGothic" w:cs="MS PGothic" w:eastAsia="MS PGothic" w:hAnsi="MS PGothic"/>
          <w:sz w:val="18"/>
          <w:szCs w:val="18"/>
          <w:color w:val="auto"/>
        </w:rPr>
        <w:t>‑</w:t>
      </w:r>
      <w:r>
        <w:rPr>
          <w:rFonts w:ascii="Arial" w:cs="Arial" w:eastAsia="Arial" w:hAnsi="Arial"/>
          <w:sz w:val="18"/>
          <w:szCs w:val="18"/>
          <w:color w:val="auto"/>
        </w:rPr>
        <w:t>4(c) under the Exchange Act (17 CFR 240.13e</w:t>
      </w:r>
      <w:r>
        <w:rPr>
          <w:rFonts w:ascii="MS PGothic" w:cs="MS PGothic" w:eastAsia="MS PGothic" w:hAnsi="MS PGothic"/>
          <w:sz w:val="18"/>
          <w:szCs w:val="18"/>
          <w:color w:val="auto"/>
        </w:rPr>
        <w:t>‑</w:t>
      </w:r>
      <w:r>
        <w:rPr>
          <w:rFonts w:ascii="Arial" w:cs="Arial" w:eastAsia="Arial" w:hAnsi="Arial"/>
          <w:sz w:val="18"/>
          <w:szCs w:val="18"/>
          <w:color w:val="auto"/>
        </w:rPr>
        <w:t>4(c))</w:t>
      </w:r>
    </w:p>
    <w:p>
      <w:pPr>
        <w:spacing w:after="0" w:line="278" w:lineRule="exact"/>
        <w:rPr>
          <w:sz w:val="24"/>
          <w:szCs w:val="24"/>
          <w:color w:val="auto"/>
        </w:rPr>
      </w:pPr>
    </w:p>
    <w:p>
      <w:pPr>
        <w:ind w:left="8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32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Title of each class</w:t>
            </w:r>
          </w:p>
        </w:tc>
        <w:tc>
          <w:tcPr>
            <w:tcW w:w="2840" w:type="dxa"/>
            <w:vAlign w:val="bottom"/>
          </w:tcPr>
          <w:p>
            <w:pPr>
              <w:jc w:val="center"/>
              <w:ind w:left="90"/>
              <w:spacing w:after="0"/>
              <w:rPr>
                <w:sz w:val="20"/>
                <w:szCs w:val="20"/>
                <w:color w:val="auto"/>
              </w:rPr>
            </w:pPr>
            <w:r>
              <w:rPr>
                <w:rFonts w:ascii="Arial" w:cs="Arial" w:eastAsia="Arial" w:hAnsi="Arial"/>
                <w:sz w:val="18"/>
                <w:szCs w:val="18"/>
                <w:b w:val="1"/>
                <w:bCs w:val="1"/>
                <w:color w:val="auto"/>
                <w:w w:val="89"/>
              </w:rPr>
              <w:t>Trading Symbol(s)</w:t>
            </w:r>
          </w:p>
        </w:tc>
        <w:tc>
          <w:tcPr>
            <w:tcW w:w="4200" w:type="dxa"/>
            <w:vAlign w:val="bottom"/>
          </w:tcPr>
          <w:p>
            <w:pPr>
              <w:jc w:val="center"/>
              <w:ind w:left="33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54"/>
        </w:trPr>
        <w:tc>
          <w:tcPr>
            <w:tcW w:w="4320" w:type="dxa"/>
            <w:vAlign w:val="bottom"/>
            <w:tcBorders>
              <w:bottom w:val="single" w:sz="8" w:color="auto"/>
            </w:tcBorders>
          </w:tcPr>
          <w:p>
            <w:pPr>
              <w:spacing w:after="0"/>
              <w:rPr>
                <w:sz w:val="4"/>
                <w:szCs w:val="4"/>
                <w:color w:val="auto"/>
              </w:rPr>
            </w:pPr>
          </w:p>
        </w:tc>
        <w:tc>
          <w:tcPr>
            <w:tcW w:w="2840" w:type="dxa"/>
            <w:vAlign w:val="bottom"/>
            <w:tcBorders>
              <w:bottom w:val="single" w:sz="8" w:color="auto"/>
            </w:tcBorders>
          </w:tcPr>
          <w:p>
            <w:pPr>
              <w:spacing w:after="0"/>
              <w:rPr>
                <w:sz w:val="4"/>
                <w:szCs w:val="4"/>
                <w:color w:val="auto"/>
              </w:rPr>
            </w:pPr>
          </w:p>
        </w:tc>
        <w:tc>
          <w:tcPr>
            <w:tcW w:w="4200" w:type="dxa"/>
            <w:vAlign w:val="bottom"/>
            <w:tcBorders>
              <w:bottom w:val="single" w:sz="8" w:color="auto"/>
            </w:tcBorders>
          </w:tcPr>
          <w:p>
            <w:pPr>
              <w:spacing w:after="0"/>
              <w:rPr>
                <w:sz w:val="4"/>
                <w:szCs w:val="4"/>
                <w:color w:val="auto"/>
              </w:rPr>
            </w:pPr>
          </w:p>
        </w:tc>
      </w:tr>
      <w:tr>
        <w:trPr>
          <w:trHeight w:val="237"/>
        </w:trPr>
        <w:tc>
          <w:tcPr>
            <w:tcW w:w="4320" w:type="dxa"/>
            <w:vAlign w:val="bottom"/>
          </w:tcPr>
          <w:p>
            <w:pPr>
              <w:jc w:val="center"/>
              <w:ind w:right="90"/>
              <w:spacing w:after="0"/>
              <w:rPr>
                <w:sz w:val="20"/>
                <w:szCs w:val="20"/>
                <w:color w:val="auto"/>
              </w:rPr>
            </w:pPr>
            <w:r>
              <w:rPr>
                <w:rFonts w:ascii="Arial" w:cs="Arial" w:eastAsia="Arial" w:hAnsi="Arial"/>
                <w:sz w:val="18"/>
                <w:szCs w:val="18"/>
                <w:color w:val="auto"/>
                <w:w w:val="90"/>
              </w:rPr>
              <w:t>Class A Common Stock, par value $0.01</w:t>
            </w:r>
          </w:p>
        </w:tc>
        <w:tc>
          <w:tcPr>
            <w:tcW w:w="2840" w:type="dxa"/>
            <w:vAlign w:val="bottom"/>
          </w:tcPr>
          <w:p>
            <w:pPr>
              <w:jc w:val="center"/>
              <w:ind w:left="90"/>
              <w:spacing w:after="0"/>
              <w:rPr>
                <w:sz w:val="20"/>
                <w:szCs w:val="20"/>
                <w:color w:val="auto"/>
              </w:rPr>
            </w:pPr>
            <w:r>
              <w:rPr>
                <w:rFonts w:ascii="Arial" w:cs="Arial" w:eastAsia="Arial" w:hAnsi="Arial"/>
                <w:sz w:val="18"/>
                <w:szCs w:val="18"/>
                <w:color w:val="auto"/>
                <w:w w:val="97"/>
              </w:rPr>
              <w:t>CWEN.A</w:t>
            </w:r>
          </w:p>
        </w:tc>
        <w:tc>
          <w:tcPr>
            <w:tcW w:w="4200" w:type="dxa"/>
            <w:vAlign w:val="bottom"/>
          </w:tcPr>
          <w:p>
            <w:pPr>
              <w:jc w:val="center"/>
              <w:ind w:left="310"/>
              <w:spacing w:after="0"/>
              <w:rPr>
                <w:sz w:val="20"/>
                <w:szCs w:val="20"/>
                <w:color w:val="auto"/>
              </w:rPr>
            </w:pPr>
            <w:r>
              <w:rPr>
                <w:rFonts w:ascii="Arial" w:cs="Arial" w:eastAsia="Arial" w:hAnsi="Arial"/>
                <w:sz w:val="18"/>
                <w:szCs w:val="18"/>
                <w:color w:val="auto"/>
                <w:w w:val="91"/>
              </w:rPr>
              <w:t>New York Stock Exchange</w:t>
            </w:r>
          </w:p>
        </w:tc>
      </w:tr>
      <w:tr>
        <w:trPr>
          <w:trHeight w:val="297"/>
        </w:trPr>
        <w:tc>
          <w:tcPr>
            <w:tcW w:w="4320" w:type="dxa"/>
            <w:vAlign w:val="bottom"/>
          </w:tcPr>
          <w:p>
            <w:pPr>
              <w:jc w:val="center"/>
              <w:ind w:right="70"/>
              <w:spacing w:after="0"/>
              <w:rPr>
                <w:sz w:val="20"/>
                <w:szCs w:val="20"/>
                <w:color w:val="auto"/>
              </w:rPr>
            </w:pPr>
            <w:r>
              <w:rPr>
                <w:rFonts w:ascii="Arial" w:cs="Arial" w:eastAsia="Arial" w:hAnsi="Arial"/>
                <w:sz w:val="18"/>
                <w:szCs w:val="18"/>
                <w:color w:val="auto"/>
                <w:w w:val="89"/>
              </w:rPr>
              <w:t>Class C Common Stock, par value $0.01</w:t>
            </w:r>
          </w:p>
        </w:tc>
        <w:tc>
          <w:tcPr>
            <w:tcW w:w="2840" w:type="dxa"/>
            <w:vAlign w:val="bottom"/>
          </w:tcPr>
          <w:p>
            <w:pPr>
              <w:jc w:val="center"/>
              <w:ind w:left="90"/>
              <w:spacing w:after="0"/>
              <w:rPr>
                <w:sz w:val="20"/>
                <w:szCs w:val="20"/>
                <w:color w:val="auto"/>
              </w:rPr>
            </w:pPr>
            <w:r>
              <w:rPr>
                <w:rFonts w:ascii="Arial" w:cs="Arial" w:eastAsia="Arial" w:hAnsi="Arial"/>
                <w:sz w:val="18"/>
                <w:szCs w:val="18"/>
                <w:color w:val="auto"/>
                <w:w w:val="98"/>
              </w:rPr>
              <w:t>CWEN</w:t>
            </w:r>
          </w:p>
        </w:tc>
        <w:tc>
          <w:tcPr>
            <w:tcW w:w="4200" w:type="dxa"/>
            <w:vAlign w:val="bottom"/>
          </w:tcPr>
          <w:p>
            <w:pPr>
              <w:jc w:val="center"/>
              <w:ind w:left="310"/>
              <w:spacing w:after="0"/>
              <w:rPr>
                <w:sz w:val="20"/>
                <w:szCs w:val="20"/>
                <w:color w:val="auto"/>
              </w:rPr>
            </w:pPr>
            <w:r>
              <w:rPr>
                <w:rFonts w:ascii="Arial" w:cs="Arial" w:eastAsia="Arial" w:hAnsi="Arial"/>
                <w:sz w:val="18"/>
                <w:szCs w:val="18"/>
                <w:color w:val="auto"/>
                <w:w w:val="91"/>
              </w:rPr>
              <w:t>New York Stock Exchange</w:t>
            </w:r>
          </w:p>
        </w:tc>
      </w:tr>
    </w:tbl>
    <w:p>
      <w:pPr>
        <w:spacing w:after="0" w:line="283" w:lineRule="exact"/>
        <w:rPr>
          <w:sz w:val="24"/>
          <w:szCs w:val="24"/>
          <w:color w:val="auto"/>
        </w:rPr>
      </w:pPr>
    </w:p>
    <w:p>
      <w:pPr>
        <w:ind w:left="80" w:right="560"/>
        <w:spacing w:after="0" w:line="25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5220"/>
        <w:spacing w:after="0"/>
        <w:rPr>
          <w:sz w:val="20"/>
          <w:szCs w:val="20"/>
          <w:color w:val="auto"/>
        </w:rPr>
      </w:pPr>
      <w:r>
        <w:rPr>
          <w:rFonts w:ascii="Arial" w:cs="Arial" w:eastAsia="Arial" w:hAnsi="Arial"/>
          <w:sz w:val="18"/>
          <w:szCs w:val="18"/>
          <w:color w:val="auto"/>
        </w:rPr>
        <w:t>Emerging growth company [ ]</w:t>
      </w:r>
    </w:p>
    <w:p>
      <w:pPr>
        <w:spacing w:after="0" w:line="211" w:lineRule="exact"/>
        <w:rPr>
          <w:sz w:val="24"/>
          <w:szCs w:val="24"/>
          <w:color w:val="auto"/>
        </w:rPr>
      </w:pPr>
    </w:p>
    <w:p>
      <w:pPr>
        <w:ind w:left="80" w:right="20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160020</wp:posOffset>
            </wp:positionV>
            <wp:extent cx="7212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ectPr>
          <w:pgSz w:w="11900" w:h="16838" w:orient="portrait"/>
          <w:cols w:equalWidth="0" w:num="1">
            <w:col w:w="11360"/>
          </w:cols>
          <w:pgMar w:left="300" w:top="1013" w:right="239" w:bottom="1440" w:gutter="0" w:footer="0" w:header="0"/>
          <w:type w:val="continuous"/>
        </w:sectPr>
      </w:pPr>
    </w:p>
    <w:bookmarkStart w:id="1" w:name="page2"/>
    <w:bookmarkEnd w:id="1"/>
    <w:p>
      <w:pPr>
        <w:spacing w:after="0"/>
        <w:tabs>
          <w:tab w:leader="none" w:pos="94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16"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On June 5, 2019, a fire occurred in San Luis Obispo County, California at the California Valley Solar Ranch project (“</w:t>
      </w:r>
      <w:r>
        <w:rPr>
          <w:rFonts w:ascii="Arial" w:cs="Arial" w:eastAsia="Arial" w:hAnsi="Arial"/>
          <w:sz w:val="17"/>
          <w:szCs w:val="17"/>
          <w:u w:val="single" w:color="auto"/>
          <w:color w:val="auto"/>
        </w:rPr>
        <w:t>CVSR</w:t>
      </w:r>
      <w:r>
        <w:rPr>
          <w:rFonts w:ascii="Arial" w:cs="Arial" w:eastAsia="Arial" w:hAnsi="Arial"/>
          <w:sz w:val="17"/>
          <w:szCs w:val="17"/>
          <w:color w:val="auto"/>
        </w:rPr>
        <w:t>”) which is owned by an indirect subsidiary of Clearway Energy, Inc. (the “</w:t>
      </w:r>
      <w:r>
        <w:rPr>
          <w:rFonts w:ascii="Arial" w:cs="Arial" w:eastAsia="Arial" w:hAnsi="Arial"/>
          <w:sz w:val="17"/>
          <w:szCs w:val="17"/>
          <w:u w:val="single" w:color="auto"/>
          <w:color w:val="auto"/>
        </w:rPr>
        <w:t>Company</w:t>
      </w:r>
      <w:r>
        <w:rPr>
          <w:rFonts w:ascii="Arial" w:cs="Arial" w:eastAsia="Arial" w:hAnsi="Arial"/>
          <w:sz w:val="17"/>
          <w:szCs w:val="17"/>
          <w:color w:val="auto"/>
        </w:rPr>
        <w:t>”). The root cause of the fire, which affected approximately 1,200 acres, appears to be related to an avian incident. While there has yet to be any observed damage to solar arrays, damage occurred to the associated infrastructure, resulting in the need to replace distribution poles and cabling. Currently, 40 of the 250 megawatts at CVSR are in operation, and the Company expects that CVSR will return to full operations by July 1, 2019. The Company is reviewing available insurance coverage and, subject to the current expected timeline for full operations, estimates the cash impact of the event to be between $8 million and $9 million in 2019, after estimated insurance recovery.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Concerning Forward-Looking Statements</w:t>
      </w:r>
    </w:p>
    <w:p>
      <w:pPr>
        <w:spacing w:after="0" w:line="189"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This Form 8-K contains forward-looking statements within the meaning of Section 27A of the Securities Act of 1933, as amended and Section 21E of the Securities Exchange Act of 1934, as amended. Such forward-looking statements are subject to certain risks, uncertainties and assumptions and typically can be identified by the use of words such as “expect,” “estimate,” “anticipate,” “forecast,” “plan,” “believe” and similar terms. Although the Company believes that its expectations are reasonable, it can give no assurance that these expectations will prove to be correct, and actual results may vary materially. Factors that could cause the Company’s actual results to differ materially from those contemplated in this Form 8-K can be found in the risk factors set forth in the Company’s Annual Report on Form 10-K for the year ended December 31, 2018 and other filings by the Company with the Securities and Exchange Commission. The Company undertakes no obligation to update or revise any forward-looking statements, whether as a result of new information, future events or otherwise.</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729"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line="3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Clearway Energy, Inc.</w:t>
      </w:r>
    </w:p>
    <w:p>
      <w:pPr>
        <w:spacing w:after="0" w:line="90"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(Registrant)</w:t>
      </w:r>
    </w:p>
    <w:p>
      <w:pPr>
        <w:spacing w:after="0" w:line="387" w:lineRule="exact"/>
        <w:rPr>
          <w:sz w:val="20"/>
          <w:szCs w:val="20"/>
          <w:color w:val="auto"/>
        </w:rPr>
      </w:pPr>
    </w:p>
    <w:tbl>
      <w:tblPr>
        <w:tblLayout w:type="fixed"/>
        <w:tblInd w:w="586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By:</w:t>
            </w:r>
          </w:p>
        </w:tc>
        <w:tc>
          <w:tcPr>
            <w:tcW w:w="4100" w:type="dxa"/>
            <w:vAlign w:val="bottom"/>
          </w:tcPr>
          <w:p>
            <w:pPr>
              <w:ind w:left="80"/>
              <w:spacing w:after="0"/>
              <w:rPr>
                <w:sz w:val="20"/>
                <w:szCs w:val="20"/>
                <w:color w:val="auto"/>
              </w:rPr>
            </w:pPr>
            <w:r>
              <w:rPr>
                <w:rFonts w:ascii="Arial" w:cs="Arial" w:eastAsia="Arial" w:hAnsi="Arial"/>
                <w:sz w:val="18"/>
                <w:szCs w:val="18"/>
                <w:color w:val="auto"/>
              </w:rPr>
              <w:t>/s/ Kevin P. Malcarney</w:t>
            </w:r>
          </w:p>
        </w:tc>
      </w:tr>
      <w:tr>
        <w:trPr>
          <w:trHeight w:val="54"/>
        </w:trPr>
        <w:tc>
          <w:tcPr>
            <w:tcW w:w="900" w:type="dxa"/>
            <w:vAlign w:val="bottom"/>
          </w:tcPr>
          <w:p>
            <w:pPr>
              <w:spacing w:after="0"/>
              <w:rPr>
                <w:sz w:val="4"/>
                <w:szCs w:val="4"/>
                <w:color w:val="auto"/>
              </w:rPr>
            </w:pPr>
          </w:p>
        </w:tc>
        <w:tc>
          <w:tcPr>
            <w:tcW w:w="4100" w:type="dxa"/>
            <w:vAlign w:val="bottom"/>
            <w:tcBorders>
              <w:bottom w:val="single" w:sz="8" w:color="auto"/>
            </w:tcBorders>
          </w:tcPr>
          <w:p>
            <w:pPr>
              <w:spacing w:after="0"/>
              <w:rPr>
                <w:sz w:val="4"/>
                <w:szCs w:val="4"/>
                <w:color w:val="auto"/>
              </w:rPr>
            </w:pPr>
          </w:p>
        </w:tc>
      </w:tr>
      <w:tr>
        <w:trPr>
          <w:trHeight w:val="237"/>
        </w:trPr>
        <w:tc>
          <w:tcPr>
            <w:tcW w:w="900" w:type="dxa"/>
            <w:vAlign w:val="bottom"/>
          </w:tcPr>
          <w:p>
            <w:pPr>
              <w:spacing w:after="0"/>
              <w:rPr>
                <w:sz w:val="20"/>
                <w:szCs w:val="20"/>
                <w:color w:val="auto"/>
              </w:rPr>
            </w:pPr>
          </w:p>
        </w:tc>
        <w:tc>
          <w:tcPr>
            <w:tcW w:w="4100" w:type="dxa"/>
            <w:vAlign w:val="bottom"/>
          </w:tcPr>
          <w:p>
            <w:pPr>
              <w:ind w:left="80"/>
              <w:spacing w:after="0"/>
              <w:rPr>
                <w:sz w:val="20"/>
                <w:szCs w:val="20"/>
                <w:color w:val="auto"/>
              </w:rPr>
            </w:pPr>
            <w:r>
              <w:rPr>
                <w:rFonts w:ascii="Arial" w:cs="Arial" w:eastAsia="Arial" w:hAnsi="Arial"/>
                <w:sz w:val="18"/>
                <w:szCs w:val="18"/>
                <w:color w:val="auto"/>
              </w:rPr>
              <w:t>Kevin P. Malcarney</w:t>
            </w:r>
          </w:p>
        </w:tc>
      </w:tr>
      <w:tr>
        <w:trPr>
          <w:trHeight w:val="297"/>
        </w:trPr>
        <w:tc>
          <w:tcPr>
            <w:tcW w:w="900" w:type="dxa"/>
            <w:vAlign w:val="bottom"/>
          </w:tcPr>
          <w:p>
            <w:pPr>
              <w:spacing w:after="0"/>
              <w:rPr>
                <w:sz w:val="24"/>
                <w:szCs w:val="24"/>
                <w:color w:val="auto"/>
              </w:rPr>
            </w:pPr>
          </w:p>
        </w:tc>
        <w:tc>
          <w:tcPr>
            <w:tcW w:w="4100" w:type="dxa"/>
            <w:vAlign w:val="bottom"/>
          </w:tcPr>
          <w:p>
            <w:pPr>
              <w:ind w:left="80"/>
              <w:spacing w:after="0"/>
              <w:rPr>
                <w:sz w:val="20"/>
                <w:szCs w:val="20"/>
                <w:color w:val="auto"/>
              </w:rPr>
            </w:pPr>
            <w:r>
              <w:rPr>
                <w:rFonts w:ascii="Arial" w:cs="Arial" w:eastAsia="Arial" w:hAnsi="Arial"/>
                <w:sz w:val="18"/>
                <w:szCs w:val="18"/>
                <w:color w:val="auto"/>
              </w:rPr>
              <w:t>General Counsel and Corporate Secretary</w:t>
            </w:r>
          </w:p>
        </w:tc>
      </w:tr>
    </w:tbl>
    <w:p>
      <w:pPr>
        <w:spacing w:after="0" w:line="364"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Dated: June 19,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sectPr>
      <w:pgSz w:w="11900" w:h="16838" w:orient="portrait"/>
      <w:cols w:equalWidth="0" w:num="1">
        <w:col w:w="11420"/>
      </w:cols>
      <w:pgMar w:left="240" w:top="110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2019-12-01T15:24:04Z</dcterms:created>
  <dcterms:modified xsi:type="dcterms:W3CDTF">2019-12-01T15:24:04Z</dcterms:modified>
</cp:coreProperties>
</file>