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11,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001-36002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46-1777204</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300 Carnegie Center, Suite 300, Princeton, New Jersey 08540</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or former address, if changed since last report)</w:t>
      </w:r>
    </w:p>
    <w:p>
      <w:pPr>
        <w:sectPr>
          <w:pgSz w:w="11900" w:h="16838" w:orient="portrait"/>
          <w:cols w:equalWidth="0" w:num="1">
            <w:col w:w="11420"/>
          </w:cols>
          <w:pgMar w:left="240" w:top="544" w:right="239" w:bottom="0" w:gutter="0" w:footer="0" w:header="0"/>
          <w:type w:val="continuous"/>
        </w:sectPr>
      </w:pPr>
    </w:p>
    <w:p>
      <w:pPr>
        <w:spacing w:after="0" w:line="22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7840"/>
        <w:spacing w:after="0"/>
        <w:tabs>
          <w:tab w:leader="none" w:pos="100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On September 11, 2018, Clearway Energy, Inc. (the “Company”) published an investor presentation, which will be available on the</w:t>
      </w:r>
    </w:p>
    <w:p>
      <w:pPr>
        <w:spacing w:after="0" w:line="23"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Company’s website, clearwayenergy.com, under “Investor Relations — Presentations and Webcasts.” In accordance with General Instruction B.2 of Form 8-K, the information set forth in this Item 7.01 shall be deemed to be furnished and shall not be deemed to be “filed” for purposes of Section 18 of the Securities Exchange Act of 1934, as amended.</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64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4"/>
          <w:szCs w:val="24"/>
          <w:color w:val="auto"/>
        </w:rPr>
      </w:pPr>
    </w:p>
    <w:p>
      <w:pPr>
        <w:ind w:left="5740"/>
        <w:spacing w:after="0"/>
        <w:rPr>
          <w:sz w:val="20"/>
          <w:szCs w:val="20"/>
          <w:color w:val="auto"/>
        </w:rPr>
      </w:pPr>
      <w:r>
        <w:rPr>
          <w:rFonts w:ascii="Arial" w:cs="Arial" w:eastAsia="Arial" w:hAnsi="Arial"/>
          <w:sz w:val="18"/>
          <w:szCs w:val="18"/>
          <w:b w:val="1"/>
          <w:bCs w:val="1"/>
          <w:color w:val="auto"/>
        </w:rPr>
        <w:t>Clearway Energy, Inc.</w:t>
      </w:r>
    </w:p>
    <w:p>
      <w:pPr>
        <w:spacing w:after="0" w:line="27" w:lineRule="exact"/>
        <w:rPr>
          <w:sz w:val="24"/>
          <w:szCs w:val="24"/>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11" w:lineRule="exact"/>
        <w:rPr>
          <w:sz w:val="24"/>
          <w:szCs w:val="24"/>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Malcarney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4061460</wp:posOffset>
            </wp:positionH>
            <wp:positionV relativeFrom="paragraph">
              <wp:posOffset>14605</wp:posOffset>
            </wp:positionV>
            <wp:extent cx="3190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44" w:right="239" w:bottom="0" w:gutter="0" w:footer="0" w:header="0"/>
          <w:type w:val="continuous"/>
        </w:sectPr>
      </w:pPr>
    </w:p>
    <w:bookmarkStart w:id="1" w:name="page2"/>
    <w:bookmarkEnd w:id="1"/>
    <w:p>
      <w:pPr>
        <w:ind w:left="6400"/>
        <w:spacing w:after="0"/>
        <w:rPr>
          <w:sz w:val="20"/>
          <w:szCs w:val="20"/>
          <w:color w:val="auto"/>
        </w:rPr>
      </w:pPr>
      <w:r>
        <w:rPr>
          <w:rFonts w:ascii="Arial" w:cs="Arial" w:eastAsia="Arial" w:hAnsi="Arial"/>
          <w:sz w:val="18"/>
          <w:szCs w:val="18"/>
          <w:color w:val="auto"/>
        </w:rPr>
        <w:t>Kevin P. Malcarney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General Counsel and Corporate Secretary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September 11, 2018</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2019-12-08T05:40:57Z</dcterms:created>
  <dcterms:modified xsi:type="dcterms:W3CDTF">2019-12-08T05:40:57Z</dcterms:modified>
</cp:coreProperties>
</file>