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337d1_8k.htm"/>
      <w:bookmarkStart w:id="1" w:name="kstm262033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7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1_edei--EntityFileNumber_c20260716"/>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2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300 Carnegie Center, </w:t>
      </w:r>
      <w:bookmarkStart w:id="9" w:name="xdx_90D_edei--EntityAddressAddressLine2_"/>
      <w:bookmarkEnd w:id="9"/>
      <w:r>
        <w:rPr>
          <w:rFonts w:ascii="Times New Roman;Times;Serif" w:hAnsi="Times New Roman;Times;Serif"/>
          <w:b/>
          <w:i w:val="false"/>
          <w:caps w:val="false"/>
          <w:smallCaps w:val="false"/>
          <w:sz w:val="20"/>
        </w:rPr>
        <w:t xml:space="preserve">Suite 300, </w:t>
      </w:r>
      <w:bookmarkStart w:id="10" w:name="xdx_908_edei--EntityAddressCityOrTown_c2"/>
      <w:bookmarkEnd w:id="10"/>
      <w:r>
        <w:rPr>
          <w:rFonts w:ascii="Times New Roman;Times;Serif" w:hAnsi="Times New Roman;Times;Serif"/>
          <w:b/>
          <w:i w:val="false"/>
          <w:caps w:val="false"/>
          <w:smallCaps w:val="false"/>
          <w:sz w:val="20"/>
        </w:rPr>
        <w:t xml:space="preserve">Princeton, </w:t>
      </w:r>
      <w:bookmarkStart w:id="11" w:name="xdx_907_edei--EntityAddressStateOrProvin"/>
      <w:bookmarkEnd w:id="11"/>
      <w:r>
        <w:rPr>
          <w:rFonts w:ascii="Times New Roman;Times;Serif" w:hAnsi="Times New Roman;Times;Serif"/>
          <w:b/>
          <w:i w:val="false"/>
          <w:caps w:val="false"/>
          <w:smallCaps w:val="false"/>
          <w:sz w:val="20"/>
        </w:rPr>
        <w:t xml:space="preserve">New Jersey </w:t>
      </w:r>
      <w:bookmarkStart w:id="12" w:name="xdx_902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716__20"/>
      <w:bookmarkEnd w:id="13"/>
      <w:r>
        <w:rPr>
          <w:rFonts w:ascii="Times New Roman;Times;Serif" w:hAnsi="Times New Roman;Times;Serif"/>
          <w:b/>
          <w:i w:val="false"/>
          <w:caps w:val="false"/>
          <w:smallCaps w:val="false"/>
          <w:sz w:val="20"/>
        </w:rPr>
        <w:t xml:space="preserve">609) </w:t>
      </w:r>
      <w:bookmarkStart w:id="14" w:name="xdx_907_edei--LocalPhoneNumber_c20260716"/>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8_edei--SolicitingMaterial_c202607"/>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8_edei--Security12bTitle_c20260716"/>
            <w:bookmarkEnd w:id="19"/>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F_edei--TradingSymbol_c20260716__2"/>
            <w:bookmarkEnd w:id="20"/>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1" w:name="xdx_908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96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Clearway Energy, Inc. (the “Company”) released a presentation containing certain operational data for the three and six months ended June 30, 2026 with respect to its renewable energy and flexible generation fleet (the “Operational Update Presentation”). The Operational Update Presentation is available on the Company’s website, www.clearwayenergy.com, on the “Presentations and Webcasts” page under the “Investor Relations” tab. A copy of the Operational Update Presentation is furnished as Exhibit 99.1 to this Current Report on Form 8-K and is incorporated herein by reference. Information on the Company’s website is not incorporated by reference into, and does not constitute a part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28" w:type="dxa"/>
          <w:right w:w="0" w:type="dxa"/>
        </w:tblCellMar>
      </w:tblPr>
      <w:tblGrid>
        <w:gridCol w:w="665"/>
        <w:gridCol w:w="60"/>
        <w:gridCol w:w="73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7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385"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033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pPr>
            <w:hyperlink w:anchor="tm2620337d1_ex99-1.htm">
              <w:r>
                <w:rPr>
                  <w:rStyle w:val="InternetLink"/>
                  <w:rFonts w:ascii="Times New Roman;Times;Serif" w:hAnsi="Times New Roman;Times;Serif"/>
                  <w:sz w:val="20"/>
                </w:rPr>
                <w:t>Clearway Energy, Inc. Operational Update Presentation, dated July 16,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385"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730"/>
        <w:gridCol w:w="320"/>
        <w:gridCol w:w="5210"/>
      </w:tblGrid>
      <w:tr>
        <w:trPr/>
        <w:tc>
          <w:tcPr>
            <w:tcW w:w="17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Inc.</w:t>
            </w:r>
          </w:p>
        </w:tc>
      </w:tr>
      <w:tr>
        <w:trPr/>
        <w:tc>
          <w:tcPr>
            <w:tcW w:w="17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pPr>
            <w:r>
              <w:rPr/>
              <w:t> </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Michael A. Brown</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Michael A. Brown </w:t>
            </w:r>
          </w:p>
        </w:tc>
      </w:tr>
      <w:tr>
        <w:trPr/>
        <w:tc>
          <w:tcPr>
            <w:tcW w:w="17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r>
        <w:trPr/>
        <w:tc>
          <w:tcPr>
            <w:tcW w:w="1730"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both"/>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16, 2026</w:t>
            </w:r>
          </w:p>
        </w:tc>
        <w:tc>
          <w:tcPr>
            <w:tcW w:w="553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20337d1_ex99-1.htm"/>
      <w:bookmarkStart w:id="24" w:name="kstm2620337d1_ex991"/>
      <w:bookmarkEnd w:id="23"/>
      <w:bookmarkEnd w:id="24"/>
      <w:r>
        <w:rPr>
          <w:b/>
          <w:sz w:val="20"/>
        </w:rPr>
        <w:t>Exhibit 99.1</w:t>
      </w:r>
      <w:r>
        <w:br w:type="page"/>
      </w:r>
    </w:p>
    <w:p>
      <w:pPr>
        <w:pStyle w:val="TextBody"/>
        <w:bidi w:val="0"/>
        <w:jc w:val="right"/>
        <w:rPr/>
      </w:pPr>
      <w:r>
        <w:rPr/>
        <w:t> </w:t>
      </w:r>
    </w:p>
    <w:tbl>
      <w:tblPr>
        <w:tblW w:w="13003" w:type="dxa"/>
        <w:jc w:val="center"/>
        <w:tblInd w:w="0" w:type="dxa"/>
        <w:tblLayout w:type="fixed"/>
        <w:tblCellMar>
          <w:top w:w="0" w:type="dxa"/>
          <w:left w:w="0" w:type="dxa"/>
          <w:bottom w:w="0" w:type="dxa"/>
          <w:right w:w="0" w:type="dxa"/>
        </w:tblCellMar>
      </w:tblPr>
      <w:tblGrid>
        <w:gridCol w:w="23"/>
        <w:gridCol w:w="1275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Key Highlights • 2Q 2026 Compensable Generation was lower than the volumes required to achieve the mid-point of FY2026 financial guidance, with the Wind and Solar segments producing approximately 5% fewer GWh than expected for the period. • Lower-than-expected YTD 2026 Compensable Generation was driven particularly by lower than typical wind resource in CAISO and ERCOT, where the measured resource was 87% and 98%, respectively, of P-50 expectations due to this year’s strong El Niño / Southern Oscillation (“ENSO”) pattern that negatively affects wind resource in the USA. • 2Q 2026 Plant Availability in the Solar and Flexible Generation segments remained high at 99% and 97%, respectively. • 2Q 2026 Plant Availability in the Wind segment remained at 92% with evolutions in regions reflecting improvement campaigns focused on highest-value assets and lower levels offset by liquidated damages paid by third party OEMs. • Compensable Generation and measured Performance Index for YTD 2026 reflect the low end of the range of quarterly CAFD Expectations for 1H26, as recently noted in the Q1 2026 earnings presentation referencing 2026 Quarterly Estimated Seasonality (and previously published in 3Q and 4Q 2025). Operating Data Preview: 2Q 2026 July 16, 2026 1Q 2026 2Q 2026 3Q 2026 4Q 2026 YTD 2026 West - CAISO 947 947 - - 947 West - Other 708 708 - - 708 Texas 1,288 1,288 - - 1,288 Midwest 447 447 - - 447 East 179 179 - - 179 Total Wind 3,569 3,569 - - 3,569 Total Solar 3,249 3,249 - - 3,249 West - CAISO 92% 93% - - 93% West - Other 96% 95% - - 95% Texas 91% 89% - - 90% Midwest 97% 94% - - 95% East 94% 92% - - 93% Total Wind 93% 92% - - 93% Total Solar 98% 99% - - 98% Flexible Gen 89% 97% - - 93% West - CAISO 310 776 - - 1,086 West - Other 586 545 - - 1,131 Texas 1,413 1,399 - - 2,812 Midwest 413 383 - - 797 East 252 178 - - 430 Total Wind 2,974 3,282 - - 6,256 Total Solar 2,297 3,585 - - 5,882 West - CAISO 73% 96% - - 88% West - Other 100% 100% - - 100% Texas 104% 93% - - 98% Midwest 100% 94% - - 97% East 104% 101% - - 102% Total Wind 94% 96% - - 95% Total Solar 99% 95% - - 96% Net Capacity (MW) Plant Availability (%) Compensable Generation (GWh) Performance Index (%)</w:t>
            </w:r>
          </w:p>
        </w:tc>
      </w:tr>
    </w:tbl>
    <w:tbl>
      <w:tblPr>
        <w:tblW w:w="13048" w:type="dxa"/>
        <w:jc w:val="center"/>
        <w:tblInd w:w="0" w:type="dxa"/>
        <w:tblLayout w:type="fixed"/>
        <w:tblCellMar>
          <w:top w:w="0" w:type="dxa"/>
          <w:left w:w="0" w:type="dxa"/>
          <w:bottom w:w="0" w:type="dxa"/>
          <w:right w:w="0" w:type="dxa"/>
        </w:tblCellMar>
      </w:tblPr>
      <w:tblGrid>
        <w:gridCol w:w="23"/>
        <w:gridCol w:w="12750"/>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Operating Data Preview: Notes &amp; Disclosure July 16, 2026 Notes to Operating Data Preview 1) All metrics exclude equity method investment projects (San Juan Mesa, Elkhorn Ridge, Avenal, Desert Sunlight, and Cardinal Fengate JV) 2) “Flexible Generation” represents Equivalent Availability Factor (“EAF”) in the Plant Availability section 3) “Plant Availability” is weighted by the Net Capacity MW in the given region or technology 4) Performance Index is weighted based on volume-related revenue assumed in the guidance mid-point 5) “Compensable Generation” is the quantity of GWh for which a plant is compensated and is the sum of physically generated electricity plus electricity that could have been generated and is subject to compensation under customer or supplier agreements. 6) “Performance Index” is Compensable Generation as defined above, divided by generation assumed in the guidance mid-point Safe Harbor Disclosure • This presentation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“budget” and similar terms. Such forward-looking statements include, but are not limited to, statements regarding the Performance Index, Resource Index, budgeted generation levels and financial guidance of Clearway Energy, Inc. (the “Company”). • Although the Company believes that the expectations reflected in these forward-looking statements are reasonable, it can give no assurance that these expectations will prove to be correct, and actual results may vary materially. Factors that could cause the Company’s actual results to differ materially from those contemplated in the forward-looking statements included in this presentation include the financial, operational and other risks and uncertainties that may affect the Company’s future results included in the Company’s Annual Report on Form 10-K for the year ended December 31, 2025 and its other filings with the Securities and Exchange Commission (the “SEC”), which are available at www.sec.gov. In addition, the Company makes available free of charge at www.clearwayenergy.com, copies of materials it files with, or furnishes to, the SEC. The Company undertakes no obligation to update or revise any forward-looking statements, whether as a result of new information, future events or otherwise, and expressly disclaims any current intention to update such statements.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1414</Words>
  <Characters>7429</Characters>
  <CharactersWithSpaces>8856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