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12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 w:after="283"/>
        <w:jc w:val="center"/>
        <w:rPr>
          <w:rFonts w:ascii="Times New Roman;serif" w:hAnsi="Times New Roman;serif"/>
          <w:b/>
          <w:color w:val="231F20"/>
          <w:sz w:val="20"/>
        </w:rPr>
      </w:pPr>
      <w:r>
        <w:rPr>
          <w:rFonts w:ascii="Times New Roman;serif" w:hAnsi="Times New Roman;serif"/>
          <w:b/>
          <w:color w:val="231F20"/>
          <w:sz w:val="20"/>
        </w:rPr>
        <w:t>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5, 2026</w:t>
      </w:r>
      <w:r>
        <w:rPr>
          <w:color w:val="000000"/>
        </w:rPr>
        <w:t xml:space="preserve"> </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CLEARWAY ENERGY, INC.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300 Carnegie Center, Suite 300, Princeton, New Jersey 08540 </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(609) 608-1525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N/A</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C Common Stock, par value $0.01</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CWEN</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August 5, 2026, Clearway Energy, Inc. issued a press release announcing its financial results for the quarter ended June 30, 2026.  A copy of the press release is furnished as Exhibit 99.1 to this report on Form 8-K and is hereby incorporated by reference. </w:t>
      </w:r>
      <w:r>
        <w:rPr>
          <w:rFonts w:ascii="Times New Roman;serif" w:hAnsi="Times New Roman;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9"/>
        <w:gridCol w:w="2179"/>
        <w:gridCol w:w="309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Document</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erif" w:hAnsi="Times New Roman;serif"/>
                  <w:b w:val="false"/>
                  <w:color w:val="000080"/>
                  <w:sz w:val="20"/>
                  <w:u w:val="single"/>
                </w:rPr>
                <w:t>Press Release, dated</w:t>
              </w:r>
            </w:hyperlink>
            <w:hyperlink w:anchor="exhibit991-clearwayenergyi.htm">
              <w:r>
                <w:rPr>
                  <w:rStyle w:val="InternetLink"/>
                  <w:rFonts w:ascii="Times New Roman;serif" w:hAnsi="Times New Roman;serif"/>
                  <w:b w:val="false"/>
                  <w:color w:val="000080"/>
                  <w:sz w:val="20"/>
                  <w:u w:val="single"/>
                </w:rPr>
                <w:t xml:space="preserve"> August 5</w:t>
              </w:r>
            </w:hyperlink>
            <w:hyperlink w:anchor="exhibit991-clearwayenergyi.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8174" w:type="dxa"/>
        <w:jc w:val="left"/>
        <w:tblInd w:w="0" w:type="dxa"/>
        <w:tblLayout w:type="fixed"/>
        <w:tblCellMar>
          <w:top w:w="28" w:type="dxa"/>
          <w:left w:w="28" w:type="dxa"/>
          <w:bottom w:w="28" w:type="dxa"/>
          <w:right w:w="28" w:type="dxa"/>
        </w:tblCellMar>
      </w:tblPr>
      <w:tblGrid>
        <w:gridCol w:w="705"/>
        <w:gridCol w:w="619"/>
        <w:gridCol w:w="625"/>
        <w:gridCol w:w="300"/>
        <w:gridCol w:w="300"/>
        <w:gridCol w:w="300"/>
        <w:gridCol w:w="1543"/>
        <w:gridCol w:w="1543"/>
        <w:gridCol w:w="223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 Brown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 Brown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Clearway Energy, Inc. Reports Second Quarter 2026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Fleet Enhancement program advancing with all repowerings for 2026/2027 on schedule and Texas fleet contract enhancements now complete</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Sponsor-enabled growth program accelerating with late-stage pipeline now at 13.5 GW, Honeycomb Phase II now offered, and over 2 GW of new contracts recently signed for the 2027-2030 COD vintages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Adjusting 2026 Financial Guidance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PRINCETON, NJ </w:t>
      </w:r>
      <w:r>
        <w:rPr>
          <w:color w:val="000000"/>
        </w:rPr>
        <w:t xml:space="preserve">— </w:t>
      </w:r>
      <w:r>
        <w:rPr>
          <w:rFonts w:ascii="Times New Roman;serif" w:hAnsi="Times New Roman;serif"/>
          <w:b/>
          <w:color w:val="000000"/>
          <w:sz w:val="20"/>
        </w:rPr>
        <w:t>August 5, 2026</w:t>
      </w:r>
      <w:r>
        <w:rPr>
          <w:color w:val="000000"/>
        </w:rPr>
        <w:t xml:space="preserve">— </w:t>
      </w:r>
      <w:r>
        <w:rPr>
          <w:rFonts w:ascii="Times New Roman;serif" w:hAnsi="Times New Roman;serif"/>
          <w:b w:val="false"/>
          <w:color w:val="000000"/>
          <w:sz w:val="20"/>
        </w:rPr>
        <w:t>Clearway Energy, Inc. (NYSE: CWEN) today reported second quarter 2026 financial results, including Net Income of $30 million, Adjusted EBITDA of $409 million, Cash from Operating Activities of $214 million, and Cash Available for Distribution (CAFD) of $167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"Since last quarter, we have completed two additional accretive revenue contracts in our Texas operating fleet, received a dropdown offer for Honeycomb Phase II, and our sponsor has secured</w:t>
      </w:r>
      <w:r>
        <w:rPr>
          <w:color w:val="EE2724"/>
        </w:rPr>
        <w:t xml:space="preserve"> </w:t>
      </w:r>
      <w:r>
        <w:rPr>
          <w:rFonts w:ascii="Times New Roman;serif" w:hAnsi="Times New Roman;serif"/>
          <w:b w:val="false"/>
          <w:color w:val="000000"/>
          <w:sz w:val="20"/>
        </w:rPr>
        <w:t>over 2 GW of new contracts recently signed for the 2027-2030 COD vintages, further crystallizing our long-term financial objectives. We remain in a very solid position to continue to strive for the top end or better of our CAFD per share target for 2030 of $2.90 to $3.10, we have line of sight now to the potential for 5-8%+ growth beyond 2030 from our 2030 target baseline, and continue to have the ability to generate further potential upside across all of our growth pathways, including through our co-located digital infrastructure business as it takes shape. With the building blocks needed to fulfill our growth objectives increasingly in view, we are well positioned to maximize value for CWEN stockholders over the long term. While we are lowering our 2026 financial guidance due to factors outlined in our mid-July operational preview, our team is focused on maintaining our trademark operational excellence to uphold our historic track record of meeting our financial targets," said Craig Cornelius, Clearway Energy, Inc.'s President and Chief Executive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Table 1: Net Income/(Loss)</w:t>
      </w:r>
    </w:p>
    <w:tbl>
      <w:tblPr>
        <w:tblW w:w="6361"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34"/>
        <w:gridCol w:w="400"/>
        <w:gridCol w:w="121"/>
        <w:gridCol w:w="121"/>
        <w:gridCol w:w="121"/>
        <w:gridCol w:w="121"/>
        <w:gridCol w:w="234"/>
        <w:gridCol w:w="400"/>
        <w:gridCol w:w="121"/>
        <w:gridCol w:w="109"/>
        <w:gridCol w:w="109"/>
        <w:gridCol w:w="109"/>
        <w:gridCol w:w="211"/>
        <w:gridCol w:w="436"/>
        <w:gridCol w:w="109"/>
        <w:gridCol w:w="109"/>
        <w:gridCol w:w="109"/>
        <w:gridCol w:w="109"/>
        <w:gridCol w:w="211"/>
        <w:gridCol w:w="43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r>
      <w:tr>
        <w:trPr/>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Renewables &amp;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Table 2: Adjusted EBITDA</w:t>
      </w:r>
    </w:p>
    <w:tbl>
      <w:tblPr>
        <w:tblW w:w="6447"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r>
      <w:tr>
        <w:trPr/>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Renewables &amp;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Cash from Operating Activities and Cash Available for Distribution (CAFD)</w:t>
      </w:r>
    </w:p>
    <w:tbl>
      <w:tblPr>
        <w:tblW w:w="7841"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6/30/25</w:t>
            </w:r>
          </w:p>
        </w:tc>
      </w:tr>
      <w:tr>
        <w:trPr/>
        <w:tc>
          <w:tcPr>
            <w:tcW w:w="33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Available for Distribution (CAFD)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2026, the Company reported Net Income of $30 million, Adjusted EBITDA of $409 million, Cash from Operating Activities of $214 million, and CAFD of $167 million. Net Income increased versus the second quarter of 2025 primarily due to changes in mark-to-market for economic hedges. Adjusted EBITDA results in the second quarter of 2026 were higher than the second quarter of 2025 due to the contribution of growth investments. CAFD results in the second quarter of 2026 were higher than the second quarter of 2025 primarily due to higher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Table 4: Selected Operating Results</w:t>
      </w:r>
      <w:r>
        <w:rPr>
          <w:rFonts w:ascii="Times New Roman;serif" w:hAnsi="Times New Roman;serif"/>
          <w:b/>
          <w:color w:val="000000"/>
          <w:sz w:val="13"/>
        </w:rPr>
        <w:t>1</w:t>
      </w:r>
      <w:r>
        <w:rPr>
          <w:color w:val="000000"/>
        </w:rPr>
        <w:t xml:space="preserve"> </w:t>
      </w:r>
    </w:p>
    <w:tbl>
      <w:tblPr>
        <w:tblW w:w="10194" w:type="dxa"/>
        <w:jc w:val="left"/>
        <w:tblInd w:w="0" w:type="dxa"/>
        <w:tblLayout w:type="fixed"/>
        <w:tblCellMar>
          <w:top w:w="28" w:type="dxa"/>
          <w:left w:w="28" w:type="dxa"/>
          <w:bottom w:w="28" w:type="dxa"/>
          <w:right w:w="28" w:type="dxa"/>
        </w:tblCellMar>
      </w:tblPr>
      <w:tblGrid>
        <w:gridCol w:w="1549"/>
        <w:gridCol w:w="1360"/>
        <w:gridCol w:w="1365"/>
        <w:gridCol w:w="109"/>
        <w:gridCol w:w="109"/>
        <w:gridCol w:w="109"/>
        <w:gridCol w:w="307"/>
        <w:gridCol w:w="309"/>
        <w:gridCol w:w="416"/>
        <w:gridCol w:w="156"/>
        <w:gridCol w:w="156"/>
        <w:gridCol w:w="156"/>
        <w:gridCol w:w="307"/>
        <w:gridCol w:w="309"/>
        <w:gridCol w:w="416"/>
        <w:gridCol w:w="109"/>
        <w:gridCol w:w="109"/>
        <w:gridCol w:w="109"/>
        <w:gridCol w:w="359"/>
        <w:gridCol w:w="362"/>
        <w:gridCol w:w="416"/>
        <w:gridCol w:w="135"/>
        <w:gridCol w:w="135"/>
        <w:gridCol w:w="135"/>
        <w:gridCol w:w="359"/>
        <w:gridCol w:w="362"/>
        <w:gridCol w:w="471"/>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r>
      <w:tr>
        <w:trPr/>
        <w:tc>
          <w:tcPr>
            <w:tcW w:w="4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Solar MWh generated/sold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Wind MWh generated/sold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Renewables &amp; Storage generated/sold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4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4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4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4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the second quarter of 2026, availability at the Flexible Generation segment was higher than the second quarter of 2025 primarily due to strong operational execution.</w:t>
      </w:r>
      <w:r>
        <w:rPr>
          <w:color w:val="EE2724"/>
        </w:rPr>
        <w:t xml:space="preserve"> </w:t>
      </w:r>
      <w:r>
        <w:rPr>
          <w:rFonts w:ascii="Times New Roman;serif" w:hAnsi="Times New Roman;serif"/>
          <w:b w:val="false"/>
          <w:color w:val="000000"/>
          <w:sz w:val="20"/>
        </w:rPr>
        <w:t>Generation in the Renewables &amp; Storage segment during the second quarter of 2026 was 16% higher than the second quarter of 2025 primarily due to the contribution of growth investments.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Table 5: Liquidity</w:t>
      </w:r>
      <w:r>
        <w:rPr>
          <w:color w:val="000000"/>
        </w:rPr>
        <w:t xml:space="preserve"> </w:t>
      </w:r>
    </w:p>
    <w:tbl>
      <w:tblPr>
        <w:tblW w:w="9604"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57"/>
        <w:gridCol w:w="569"/>
        <w:gridCol w:w="133"/>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liquidity as of June 30, 2026, was $985 million, which was $76 million lower than as of December 31, 2025, primarily due to the execution of growth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Company’s liquidity included </w:t>
      </w:r>
      <w:r>
        <w:rPr>
          <w:rFonts w:ascii="Times New Roman;serif" w:hAnsi="Times New Roman;serif"/>
          <w:b w:val="false"/>
          <w:color w:val="000000"/>
          <w:sz w:val="20"/>
        </w:rPr>
        <w:t>$292 million</w:t>
      </w:r>
      <w:r>
        <w:rPr>
          <w:color w:val="231F20"/>
        </w:rPr>
        <w:t xml:space="preserve"> </w:t>
      </w:r>
      <w:r>
        <w:rPr>
          <w:rFonts w:ascii="Times New Roman;serif" w:hAnsi="Times New Roman;serif"/>
          <w:b w:val="false"/>
          <w:color w:val="231F20"/>
          <w:sz w:val="20"/>
        </w:rPr>
        <w:t xml:space="preserve">of restricted cash. Restricted cash consists primarily of funds to satisfy the requirements of certain debt arrangements and funds held within the Company’s projects that are restricted in their use. As </w:t>
      </w:r>
      <w:r>
        <w:rPr>
          <w:rFonts w:ascii="Times New Roman;serif" w:hAnsi="Times New Roman;serif"/>
          <w:b w:val="false"/>
          <w:color w:val="000000"/>
          <w:sz w:val="20"/>
        </w:rPr>
        <w:t>of June 30, 2026, these restricted funds were comprised of $130 million designated to fund operating expenses, approximately $40 million designated for current debt service payments, and $90 million of reserves for debt service, performance obligations and other items including capital expenditures.</w:t>
      </w:r>
      <w:r>
        <w:rPr>
          <w:color w:val="FF0000"/>
        </w:rPr>
        <w:t xml:space="preserve"> </w:t>
      </w:r>
      <w:r>
        <w:rPr>
          <w:rFonts w:ascii="Times New Roman;serif" w:hAnsi="Times New Roman;serif"/>
          <w:b w:val="false"/>
          <w:color w:val="000000"/>
          <w:sz w:val="20"/>
        </w:rPr>
        <w:t>The remaining $32 million is held in distribution reserve accounts.</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Excludes equity method investments</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MWh generated/sold includes 651 and 354 MWh (in thousands) associated with curtailment activities for the three months ended June 30, 2026 and 2025, respectively, and 1,027 and 790 for the six months ended June 30, 2026 and 2025,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June 30, 2026, the Company had $60 million in outstanding borrowings under its revolving credit facility and $198 million in letters of credit outstanding. During July 2026, the Company borrowed an additional $45 million under the revolving credit facility and subsequently repaid $50 million. As of July 31, 2026, the Company had $55 million in outstanding borrowings under the revolving credit facility. </w:t>
      </w:r>
      <w:r>
        <w:rPr>
          <w:rFonts w:ascii="Times New Roman;serif" w:hAnsi="Times New Roman;serif"/>
          <w:b w:val="false"/>
          <w:color w:val="231F20"/>
          <w:sz w:val="20"/>
        </w:rPr>
        <w:t>The facility will continue to be used for general corporate purposes including financing of future investments or acquisitions and posting letters of credit.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Potential future sources of liquidity include excess operating cash flow, availability under the revolving credit facility</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Growth Investments and Strategic Announcements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Honeycomb Phase II Offer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2026, Clearway Group offered the Company the opportunity to enter into partnership arrangements to own cash equity interests in a 210 MW storage portfolio located in Utah that is expected to reach commercial operations in 2027. The portfolio has been awarded long-term contracts with an investment grade utility and the potential corporate capital commitment for the investment is expected to be approximately $110 million. The investment is subject to negotiation with Clearway Group, and the review and approval by the Company’s Independent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Chimney Canyon Project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2026, Clearway Group announced a long-term PPA with an investment grade utility for Chimney Canyon, a 975 MW solar plus BESS project in Arizona expected to achieve commercial operations in 2029. The Company estimates that its total potential corporate capital investment could be approximately $350 million. An investment decision for the project would be subject to receipt of a potential future dropdown offer from Clearway Group, negotiation of such dropdown offer,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Elbow Creek Wind PPA restructuring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25, 2026, the Company restructured its existing energy-related commodity contract associated with the Elbow Creek wind facility, which resulted in an in-substance financing to settle existing derivative liabilities over time. In connection with the restructuring, the Company also entered into a 15-year PPA with a commercial counterparty, which replaces the volumetric and price exposure of Elbow Creek’s energy-related commodity contract with more favorable pricing.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Langford Wind PPA restructuring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10, 2026, the Company restructured its existing energy-related commodity contract associated with the Langford wind facility, which resulted in an in-substance financing to settle existing derivative liabilities over time. In connection with the restructuring, the Company also entered into a 15-year PPA with an investment-grade counterparty, which replaces the volumetric and price exposure of Langford’s energy-related commodity contract with more favorable pricing.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August 4, 2026, Clearway Energy, Inc.’s Board of Directors declared a quarterly dividend on the Company’s Class C common stock of</w:t>
      </w:r>
      <w:r>
        <w:rPr>
          <w:color w:val="000000"/>
        </w:rPr>
        <w:t xml:space="preserve"> </w:t>
      </w:r>
      <w:r>
        <w:rPr>
          <w:rFonts w:ascii="Times New Roman;serif" w:hAnsi="Times New Roman;serif"/>
          <w:b w:val="false"/>
          <w:color w:val="000000"/>
          <w:sz w:val="20"/>
        </w:rPr>
        <w:t xml:space="preserve">$0.4750 per share payable on September 15, 2026, to stockholders of record as of September 1, 2026.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summer capacity and energy prices from flexible generation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solar insolation during the summer months;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wind resources during the spring and summer months;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Renewable energy resource throughout the year;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Debt service payments which are made either quarterly or semi-annually;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Timing of maintenance capital expenditures and the impact of both unforced and forced outages;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revising its 2026 full year CAFD guidance to a range of $430 million to $470 million. The midpoint of the 2026 financial guidance range is based on updated renewable energy production estimates for the remainder of the year, while the range reflects a range of potential distributions of outcomes on resource and performance. The guidance range also factors in completing committed growth investments on currently forecasted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Earnings 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5, 2026,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Clearway Energy, Inc. is one of the largest owners of clean energy generation assets in the US and is leading the transition to a world powered by clean energy. Our portfolio comprises approximately 13.9 GW of gross capacity in 27 states, including 11.1 GW of wind, solar, and energy storage and over 2.8 GW of dispatchable power generation providing critical grid reliability services. Through our diversified and primarily contracted clean energy portfolio, Clearway Energy endeavors to provide its investors with stable and growing dividend income. Clearway Energy, Inc.’s common stock is traded on the New York Stock Exchange under the symbol CWEN. Clearway Energy, Inc. is sponsored by its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Safe Harbor Disclosure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Clearway Energy, Inc.’s (the “Company’s”) dividend expectations and its operations, its facilities and its financial results, statements regarding the likelihood, terms, timing and/or consummation of the transactions described in this news release, the potential benefits, opportunities, and results with respect to the transactions, including the Company’s future relationship and arrangements with Global Infrastructure Partners, TotalEnergies, and Clearway Energy Group (collectively and together with their affiliates, “Related Persons”),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that the expectations are reasonable at this time, it can give no assurance that these expectations will prove to be correct, and actual results may vary materially. Factors that could cause actual results to differ materially from those contemplated in this news release include, among others, the Company's ability to maintain and grow its quarterly dividend; potential risks relating to the Company's relationships with Clearway Energy Group and its owners; the Company’s ability to successfully identify, evaluate and consummate investment opportunities, as well as acquisitions from, and dispositions to, third parties; risks related to the Company's ability to acquire assets, including risks that offered or committed transactions from Related Persons may not be approved, on the terms proposed or otherwise, by the Corporate Governance, Conflicts, and Nominating Committee of the Company’s Board of Directors (the “GCN”), or if approved, timely consummated; the Company’s ability to borrow additional funds and access capital markets due to its indebtedness, corporate structure, market conditions or otherwise; the Company’s substantial indebtedness and the possibility that the Company may incur additional indebtedness going forward; changes in law, including judicial decisions; hazards customary to the power production industry and power generation operations, such as fuel and electricity price volatility, unusual weather conditions (including wind and solar conditions), catastrophic weather-related or other damage to facilities, unscheduled generation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contracts to sell power and procure fuel on acceptable terms and prices; government regulations, including compliance with regulatory requirements and changes in market rules, rates, tariffs and environmental laws; operating and financial restrictions placed on the Company that are contained in the facility-level debt facilities and other agreements of the Company and its subsidiaries; and cyber terrorism and inadequate cybersecurity, or the occurrence of a catastrophic loss and the possibility that the Company may not have adequate insurance to cover losses resulting from such hazards or the inability of the Company’s insurers to provide coverage.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this news release contains reference to certain offered and committed transactions with Related Persons, which transactions are subject to the review, negotiation and approval of the GCN. Transactions referred to as “offered” (or any variation thereof) have been presented to the Company by the Related Persons, but the terms remain subject to review and negotiation by the GCN. Transactions may have been recently offered or undergone more extensive negotiations. Unless otherwise noted, no assumptions should be made with respect to the stage of negotiation of an offered transaction, nor should any assumptions be made that any offered transaction will be approved, committed or ultimately consummated on the terms described herein or at all. Transactions referred to as “committed” or “signed” (or any variation thereof) represent transactions which have been approved by the GCN and for which definitive agreements have been delivered; however, such transactions have not yet been consummated and remain subject to various risks and uncertainties (including financing, third party consents and arrangements and regulatory approvals). The Company provides information regarding offered and committed transactions believing that such information is useful to an understanding of the Company’s business and operations; however, given the uncertainty of such transactions, undue reliance should not be placed on any expectations regarding such transactions and the Company can give no assurance that such expectations will prove to be correct, as actual results may vary materially.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Cash Available for Distribution are estimates as of today’s date, August 5, 2026, and are based on assumptions believed to be reasonable as of this date. The Company expressly disclaims any current intention to update such guidance. The foregoing review of factors that could cause The Company's actual results to differ materially from those contemplated in the forward-looking statements included in this news release should not be construed as exhaustive and should be considered in connection with information regarding risks and uncertainties that may affect the Company's future results included in The Company's filings with the Securities and Exchange Commission at www.sec.gov. In addition, The Company makes available free of charge at www.clearwayenergy.com, copies of materials it files with, or furnishes to, the Securities and Exchange Commission.</w: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Investors:                Media:</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39"/>
        <w:gridCol w:w="1481"/>
        <w:gridCol w:w="14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03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Attributable to Clearway Energy, Inc. Class A and Class C Common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 - basic and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C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Weighted Average Class A and Class C Common Share - Basic and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A Common Share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0.8696 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C Common Share </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0.9278 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0.8696 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CLEARWAY ENERGY,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316"/>
        <w:gridCol w:w="2224"/>
        <w:gridCol w:w="2245"/>
        <w:gridCol w:w="203"/>
        <w:gridCol w:w="669"/>
        <w:gridCol w:w="112"/>
        <w:gridCol w:w="109"/>
        <w:gridCol w:w="109"/>
        <w:gridCol w:w="109"/>
        <w:gridCol w:w="217"/>
        <w:gridCol w:w="717"/>
        <w:gridCol w:w="175"/>
      </w:tblGrid>
      <w:tr>
        <w:trPr/>
        <w:tc>
          <w:tcPr>
            <w:tcW w:w="331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shares)</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trade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affiliates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for power purchase agreements,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intangible assets, net </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trade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affiliates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10,000,000 shares authorized; none issued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Class C and Class D common stock, $0.01 par value; 2,500,000,000 shares authorized (Class B 500,000,000, Class C 1,000,000,000, Class D 1,000,000,000); 205,267,917 shares issued and outstanding (Class B 42,738,750, Class C 121,168,025, Class D 41,361,142) at June 30, 2026 and 203,773,674 shares issued and outstanding (Class A 34,613,853, Class B 42,738,750, Class C 84,844,929, Class D 41,576,142) at December 31, 2025</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7706" w:type="dxa"/>
        <w:jc w:val="left"/>
        <w:tblInd w:w="0" w:type="dxa"/>
        <w:tblLayout w:type="fixed"/>
        <w:tblCellMar>
          <w:top w:w="28" w:type="dxa"/>
          <w:left w:w="28" w:type="dxa"/>
          <w:bottom w:w="28" w:type="dxa"/>
          <w:right w:w="28" w:type="dxa"/>
        </w:tblCellMar>
      </w:tblPr>
      <w:tblGrid>
        <w:gridCol w:w="2045"/>
        <w:gridCol w:w="1795"/>
        <w:gridCol w:w="1800"/>
        <w:gridCol w:w="222"/>
        <w:gridCol w:w="478"/>
        <w:gridCol w:w="123"/>
        <w:gridCol w:w="123"/>
        <w:gridCol w:w="123"/>
        <w:gridCol w:w="123"/>
        <w:gridCol w:w="222"/>
        <w:gridCol w:w="478"/>
        <w:gridCol w:w="174"/>
      </w:tblGrid>
      <w:tr>
        <w:trPr/>
        <w:tc>
          <w:tcPr>
            <w:tcW w:w="204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in earnings of unconsolidated affiliates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unconsolidated affiliates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costs and debt discounts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and out-of-market contracts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on debt extinguishment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right-of-use assets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deferred income taxes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derivative instruments and amortization of accumulated OCI/OCL</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transferable tax credits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working capital</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Drop Down Assets, net of cash acquired</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equipment deposits and asset purchases from affiliate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from unconsolidated affiliates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unconsolidated affiliates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contributions from noncontrolling interests, net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issuance of Class C common stock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dividends and distributions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Pro-rata distributions to CEG</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the revolving credit facility</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issuance of long-term debt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long-term debt</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2026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38"/>
        <w:gridCol w:w="452"/>
        <w:gridCol w:w="409"/>
        <w:gridCol w:w="207"/>
        <w:gridCol w:w="428"/>
        <w:gridCol w:w="115"/>
        <w:gridCol w:w="109"/>
        <w:gridCol w:w="109"/>
        <w:gridCol w:w="109"/>
        <w:gridCol w:w="242"/>
        <w:gridCol w:w="298"/>
        <w:gridCol w:w="136"/>
        <w:gridCol w:w="109"/>
        <w:gridCol w:w="109"/>
        <w:gridCol w:w="109"/>
        <w:gridCol w:w="196"/>
        <w:gridCol w:w="556"/>
        <w:gridCol w:w="109"/>
        <w:gridCol w:w="109"/>
        <w:gridCol w:w="109"/>
        <w:gridCol w:w="109"/>
        <w:gridCol w:w="302"/>
        <w:gridCol w:w="651"/>
        <w:gridCol w:w="169"/>
        <w:gridCol w:w="109"/>
        <w:gridCol w:w="109"/>
        <w:gridCol w:w="109"/>
        <w:gridCol w:w="395"/>
        <w:gridCol w:w="516"/>
        <w:gridCol w:w="222"/>
        <w:gridCol w:w="109"/>
        <w:gridCol w:w="109"/>
        <w:gridCol w:w="109"/>
        <w:gridCol w:w="232"/>
        <w:gridCol w:w="659"/>
        <w:gridCol w:w="130"/>
        <w:gridCol w:w="109"/>
        <w:gridCol w:w="109"/>
        <w:gridCol w:w="109"/>
        <w:gridCol w:w="211"/>
        <w:gridCol w:w="598"/>
        <w:gridCol w:w="172"/>
      </w:tblGrid>
      <w:tr>
        <w:trPr/>
        <w:tc>
          <w:tcPr>
            <w:tcW w:w="8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derivatives and changes in accumulated OCL, net of tax</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CEG, net of contributions, cash</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 net of contributions, cash</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Cardinal Portfolio acquisition</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Buyout of noncontrolling interest</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Class C common stock</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6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derivatives and changes in accumulated OCI, net of tax</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CEG, net of contributions, cash</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 net of contributions, cash</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change in tax basis</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2025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02"/>
        <w:gridCol w:w="526"/>
        <w:gridCol w:w="486"/>
        <w:gridCol w:w="211"/>
        <w:gridCol w:w="438"/>
        <w:gridCol w:w="117"/>
        <w:gridCol w:w="109"/>
        <w:gridCol w:w="109"/>
        <w:gridCol w:w="109"/>
        <w:gridCol w:w="249"/>
        <w:gridCol w:w="306"/>
        <w:gridCol w:w="140"/>
        <w:gridCol w:w="109"/>
        <w:gridCol w:w="109"/>
        <w:gridCol w:w="109"/>
        <w:gridCol w:w="196"/>
        <w:gridCol w:w="556"/>
        <w:gridCol w:w="109"/>
        <w:gridCol w:w="109"/>
        <w:gridCol w:w="109"/>
        <w:gridCol w:w="109"/>
        <w:gridCol w:w="223"/>
        <w:gridCol w:w="479"/>
        <w:gridCol w:w="123"/>
        <w:gridCol w:w="109"/>
        <w:gridCol w:w="109"/>
        <w:gridCol w:w="109"/>
        <w:gridCol w:w="354"/>
        <w:gridCol w:w="626"/>
        <w:gridCol w:w="198"/>
        <w:gridCol w:w="109"/>
        <w:gridCol w:w="109"/>
        <w:gridCol w:w="109"/>
        <w:gridCol w:w="232"/>
        <w:gridCol w:w="659"/>
        <w:gridCol w:w="130"/>
        <w:gridCol w:w="109"/>
        <w:gridCol w:w="109"/>
        <w:gridCol w:w="109"/>
        <w:gridCol w:w="211"/>
        <w:gridCol w:w="598"/>
        <w:gridCol w:w="174"/>
      </w:tblGrid>
      <w:tr>
        <w:trPr/>
        <w:tc>
          <w:tcPr>
            <w:tcW w:w="90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CEG,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assets under common control</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change in tax basis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 and distributions to CEG unit holders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A-1: Three Months Ended June 30, 2026, Segment Adjusted EBITDA Reconciliation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793"/>
        <w:gridCol w:w="1339"/>
        <w:gridCol w:w="1311"/>
        <w:gridCol w:w="109"/>
        <w:gridCol w:w="109"/>
        <w:gridCol w:w="109"/>
        <w:gridCol w:w="366"/>
        <w:gridCol w:w="652"/>
        <w:gridCol w:w="191"/>
        <w:gridCol w:w="109"/>
        <w:gridCol w:w="109"/>
        <w:gridCol w:w="109"/>
        <w:gridCol w:w="344"/>
        <w:gridCol w:w="784"/>
        <w:gridCol w:w="178"/>
        <w:gridCol w:w="109"/>
        <w:gridCol w:w="109"/>
        <w:gridCol w:w="109"/>
        <w:gridCol w:w="109"/>
        <w:gridCol w:w="109"/>
        <w:gridCol w:w="264"/>
        <w:gridCol w:w="470"/>
        <w:gridCol w:w="137"/>
        <w:gridCol w:w="109"/>
        <w:gridCol w:w="109"/>
        <w:gridCol w:w="109"/>
        <w:gridCol w:w="211"/>
        <w:gridCol w:w="481"/>
        <w:gridCol w:w="158"/>
      </w:tblGrid>
      <w:tr>
        <w:trPr/>
        <w:tc>
          <w:tcPr>
            <w:tcW w:w="179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43"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1"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w:t>
            </w: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w:t>
            </w:r>
            <w:r>
              <w:rPr>
                <w:color w:val="000000"/>
              </w:rPr>
              <w:t>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A-2: Three Months Ended June 30, 2025, Segment Adjusted EBITDA Reconciliation</w:t>
      </w:r>
    </w:p>
    <w:p>
      <w:pPr>
        <w:pStyle w:val="TextBody"/>
        <w:bidi w:val="0"/>
        <w:spacing w:lineRule="auto" w:line="288" w:before="0" w:after="0"/>
        <w:jc w:val="left"/>
        <w:rPr/>
      </w:pPr>
      <w:r>
        <w:rPr>
          <w:rFonts w:ascii="Times New Roman;serif" w:hAnsi="Times New Roman;serif"/>
          <w:b w:val="false"/>
          <w:color w:val="000000"/>
          <w:sz w:val="22"/>
        </w:rPr>
        <w:t>The following table summarizes the calculation of Adjusted EBITDA and provides a reconciliation to Net Income/(Loss):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24"/>
        <w:gridCol w:w="1362"/>
        <w:gridCol w:w="1340"/>
        <w:gridCol w:w="109"/>
        <w:gridCol w:w="109"/>
        <w:gridCol w:w="109"/>
        <w:gridCol w:w="368"/>
        <w:gridCol w:w="656"/>
        <w:gridCol w:w="192"/>
        <w:gridCol w:w="109"/>
        <w:gridCol w:w="109"/>
        <w:gridCol w:w="109"/>
        <w:gridCol w:w="346"/>
        <w:gridCol w:w="790"/>
        <w:gridCol w:w="179"/>
        <w:gridCol w:w="109"/>
        <w:gridCol w:w="109"/>
        <w:gridCol w:w="109"/>
        <w:gridCol w:w="109"/>
        <w:gridCol w:w="109"/>
        <w:gridCol w:w="264"/>
        <w:gridCol w:w="470"/>
        <w:gridCol w:w="137"/>
        <w:gridCol w:w="109"/>
        <w:gridCol w:w="109"/>
        <w:gridCol w:w="109"/>
        <w:gridCol w:w="211"/>
        <w:gridCol w:w="481"/>
        <w:gridCol w:w="159"/>
      </w:tblGrid>
      <w:tr>
        <w:trPr/>
        <w:tc>
          <w:tcPr>
            <w:tcW w:w="172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2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Appendix Table A-3: Six Months Ended June 30, 2026, Segment Adjusted EBITDA Reconciliation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734"/>
        <w:gridCol w:w="1361"/>
        <w:gridCol w:w="1335"/>
        <w:gridCol w:w="109"/>
        <w:gridCol w:w="109"/>
        <w:gridCol w:w="109"/>
        <w:gridCol w:w="368"/>
        <w:gridCol w:w="655"/>
        <w:gridCol w:w="192"/>
        <w:gridCol w:w="109"/>
        <w:gridCol w:w="109"/>
        <w:gridCol w:w="109"/>
        <w:gridCol w:w="346"/>
        <w:gridCol w:w="789"/>
        <w:gridCol w:w="179"/>
        <w:gridCol w:w="109"/>
        <w:gridCol w:w="109"/>
        <w:gridCol w:w="109"/>
        <w:gridCol w:w="109"/>
        <w:gridCol w:w="109"/>
        <w:gridCol w:w="264"/>
        <w:gridCol w:w="470"/>
        <w:gridCol w:w="137"/>
        <w:gridCol w:w="109"/>
        <w:gridCol w:w="109"/>
        <w:gridCol w:w="109"/>
        <w:gridCol w:w="211"/>
        <w:gridCol w:w="481"/>
        <w:gridCol w:w="157"/>
      </w:tblGrid>
      <w:tr>
        <w:trPr/>
        <w:tc>
          <w:tcPr>
            <w:tcW w:w="173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7"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w:t>
            </w:r>
            <w:r>
              <w:rPr>
                <w:color w:val="000000"/>
              </w:rPr>
              <w:t>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A-4: Six Months Ended June 30, 2025, Segment Adjusted EBITDA Reconciliation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736"/>
        <w:gridCol w:w="1358"/>
        <w:gridCol w:w="1336"/>
        <w:gridCol w:w="109"/>
        <w:gridCol w:w="109"/>
        <w:gridCol w:w="109"/>
        <w:gridCol w:w="368"/>
        <w:gridCol w:w="655"/>
        <w:gridCol w:w="192"/>
        <w:gridCol w:w="109"/>
        <w:gridCol w:w="109"/>
        <w:gridCol w:w="109"/>
        <w:gridCol w:w="346"/>
        <w:gridCol w:w="789"/>
        <w:gridCol w:w="179"/>
        <w:gridCol w:w="109"/>
        <w:gridCol w:w="109"/>
        <w:gridCol w:w="109"/>
        <w:gridCol w:w="109"/>
        <w:gridCol w:w="109"/>
        <w:gridCol w:w="264"/>
        <w:gridCol w:w="470"/>
        <w:gridCol w:w="137"/>
        <w:gridCol w:w="109"/>
        <w:gridCol w:w="109"/>
        <w:gridCol w:w="109"/>
        <w:gridCol w:w="211"/>
        <w:gridCol w:w="481"/>
        <w:gridCol w:w="157"/>
      </w:tblGrid>
      <w:tr>
        <w:trPr/>
        <w:tc>
          <w:tcPr>
            <w:tcW w:w="173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2"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7"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7"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w:t>
            </w: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w:t>
            </w: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4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A-5: Cash Available for Distribution Reconciliation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calculation of Cash Available for Distribution and provides a reconciliation to Cash from Operating Activities: </w:t>
      </w:r>
    </w:p>
    <w:tbl>
      <w:tblPr>
        <w:tblW w:w="10205" w:type="dxa"/>
        <w:jc w:val="left"/>
        <w:tblInd w:w="0" w:type="dxa"/>
        <w:tblLayout w:type="fixed"/>
        <w:tblCellMar>
          <w:top w:w="28" w:type="dxa"/>
          <w:left w:w="28" w:type="dxa"/>
          <w:bottom w:w="28" w:type="dxa"/>
          <w:right w:w="28" w:type="dxa"/>
        </w:tblCellMar>
      </w:tblPr>
      <w:tblGrid>
        <w:gridCol w:w="2066"/>
        <w:gridCol w:w="1784"/>
        <w:gridCol w:w="1797"/>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55"/>
      </w:tblGrid>
      <w:tr>
        <w:trPr/>
        <w:tc>
          <w:tcPr>
            <w:tcW w:w="206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prepaid and accrued liabilities for tolling agreements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reflect sale-type leases and payments for lease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Adjusted EBITDA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transferable tax credits</w:t>
            </w:r>
            <w:r>
              <w:rPr>
                <w:rFonts w:ascii="Times New Roman;serif" w:hAnsi="Times New Roman;serif"/>
                <w:b w:val="false"/>
                <w:color w:val="000000"/>
                <w:sz w:val="13"/>
              </w:rPr>
              <w:t>3</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and other</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contributions (to)/from non-controlling interest</w:t>
            </w:r>
            <w:r>
              <w:rPr>
                <w:rFonts w:ascii="Times New Roman;serif" w:hAnsi="Times New Roman;serif"/>
                <w:b w:val="false"/>
                <w:color w:val="000000"/>
                <w:sz w:val="13"/>
              </w:rPr>
              <w:t>4</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from notes receivable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amortization of indebtedness</w:t>
            </w:r>
            <w:r>
              <w:rPr>
                <w:rFonts w:ascii="Times New Roman;serif" w:hAnsi="Times New Roman;serif"/>
                <w:b w:val="false"/>
                <w:color w:val="000000"/>
                <w:sz w:val="13"/>
              </w:rPr>
              <w:t>5</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Available for Distribution before Adjustments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impact of drop downs from timing of construction debt service </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Available for Distribution</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6"/>
        </w:rPr>
        <w:t>2026 excludes $279 million of proceeds from tax credit transfers related to Pine Forest, which were primarily used to repay bridge loans.</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6"/>
        </w:rPr>
        <w:t>2026 excludes $71 million of net distributions primarily related to Goat Mountain, Honeycomb, Pine Forest and Rosamond South I; 2025 excludes $369 million of net contributions related to Dan’s Mountain, Pine Forest and Rosamond South I.</w:t>
      </w:r>
      <w:r>
        <w:rPr>
          <w:color w:val="000000"/>
        </w:rPr>
        <w:t xml:space="preserve"> </w:t>
      </w:r>
    </w:p>
    <w:p>
      <w:pPr>
        <w:pStyle w:val="TextBody"/>
        <w:bidi w:val="0"/>
        <w:spacing w:lineRule="auto" w:line="288"/>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16"/>
        </w:rPr>
        <w:t>2026 excludes $482 million primarily for the repayment of bridge loans in connection with Honeycomb and Pine Forest; 2025 excludes $247 million for the repayment of construction bridge loans in connection with Dan’s Mountain, Luna Valley, Pine Forest and Rosie South I, and $112 million for the refinancing of Buckthorn solar.</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A-6: Six Months Ended June 30, 2026, Sources and Uses of Liquidity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sources and uses of liquidity in 2026:</w:t>
      </w:r>
    </w:p>
    <w:p>
      <w:pPr>
        <w:pStyle w:val="TextBody"/>
        <w:bidi w:val="0"/>
        <w:spacing w:before="0" w:after="0"/>
        <w:jc w:val="left"/>
        <w:rPr/>
      </w:pPr>
      <w:r>
        <w:rPr/>
      </w:r>
    </w:p>
    <w:tbl>
      <w:tblPr>
        <w:tblW w:w="6881" w:type="dxa"/>
        <w:jc w:val="left"/>
        <w:tblInd w:w="0" w:type="dxa"/>
        <w:tblLayout w:type="fixed"/>
        <w:tblCellMar>
          <w:top w:w="28" w:type="dxa"/>
          <w:left w:w="28" w:type="dxa"/>
          <w:bottom w:w="28" w:type="dxa"/>
          <w:right w:w="28" w:type="dxa"/>
        </w:tblCellMar>
      </w:tblPr>
      <w:tblGrid>
        <w:gridCol w:w="1766"/>
        <w:gridCol w:w="1549"/>
        <w:gridCol w:w="1560"/>
        <w:gridCol w:w="109"/>
        <w:gridCol w:w="109"/>
        <w:gridCol w:w="109"/>
        <w:gridCol w:w="363"/>
        <w:gridCol w:w="1031"/>
        <w:gridCol w:w="285"/>
      </w:tblGrid>
      <w:tr>
        <w:trPr/>
        <w:tc>
          <w:tcPr>
            <w:tcW w:w="17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6/30/26</w:t>
            </w:r>
          </w:p>
        </w:tc>
      </w:tr>
      <w:tr>
        <w:trPr/>
        <w:tc>
          <w:tcPr>
            <w:tcW w:w="4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issuance of Class C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long-term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the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of dividends and distributions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contributions from noncontrolling interests,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equipment deposits and asset purchases from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in unconsolidated affiliates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1"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w:t>
            </w:r>
          </w:p>
        </w:tc>
        <w:tc>
          <w:tcPr>
            <w:tcW w:w="285"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Appendix Table A-7: Adjusted EBITDA and Cash Available for Distribution Guidance</w:t>
      </w:r>
    </w:p>
    <w:tbl>
      <w:tblPr>
        <w:tblW w:w="10205" w:type="dxa"/>
        <w:jc w:val="left"/>
        <w:tblInd w:w="0" w:type="dxa"/>
        <w:tblLayout w:type="fixed"/>
        <w:tblCellMar>
          <w:top w:w="28" w:type="dxa"/>
          <w:left w:w="28" w:type="dxa"/>
          <w:bottom w:w="28" w:type="dxa"/>
          <w:right w:w="28" w:type="dxa"/>
        </w:tblCellMar>
      </w:tblPr>
      <w:tblGrid>
        <w:gridCol w:w="1997"/>
        <w:gridCol w:w="1616"/>
        <w:gridCol w:w="1612"/>
        <w:gridCol w:w="109"/>
        <w:gridCol w:w="862"/>
        <w:gridCol w:w="862"/>
        <w:gridCol w:w="864"/>
        <w:gridCol w:w="667"/>
        <w:gridCol w:w="667"/>
        <w:gridCol w:w="949"/>
      </w:tblGrid>
      <w:tr>
        <w:trPr/>
        <w:tc>
          <w:tcPr>
            <w:tcW w:w="199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5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2026 Full Year Guidance Range</w:t>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Full Year Guidance Range</w:t>
            </w:r>
          </w:p>
        </w:tc>
      </w:tr>
      <w:tr>
        <w:trPr/>
        <w:tc>
          <w:tcPr>
            <w:tcW w:w="5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 - (4)</w:t>
            </w:r>
          </w:p>
        </w:tc>
        <w:tc>
          <w:tcPr>
            <w:tcW w:w="2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(35) - 5</w:t>
            </w:r>
          </w:p>
        </w:tc>
      </w:tr>
      <w:tr>
        <w:trPr/>
        <w:tc>
          <w:tcPr>
            <w:tcW w:w="5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9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Amortization, Contract Amortization and ARO Expense </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9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9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1,441 - 1,481</w:t>
            </w:r>
          </w:p>
        </w:tc>
        <w:tc>
          <w:tcPr>
            <w:tcW w:w="2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1,393 -1,433</w:t>
            </w:r>
          </w:p>
        </w:tc>
      </w:tr>
      <w:tr>
        <w:trPr/>
        <w:tc>
          <w:tcPr>
            <w:tcW w:w="5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9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from unconsolidated affiliates</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r>
      <w:tr>
        <w:trPr/>
        <w:tc>
          <w:tcPr>
            <w:tcW w:w="5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1,022 - 1,062</w:t>
            </w:r>
          </w:p>
        </w:tc>
        <w:tc>
          <w:tcPr>
            <w:tcW w:w="2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956 - 996</w:t>
            </w:r>
          </w:p>
        </w:tc>
      </w:tr>
      <w:tr>
        <w:trPr/>
        <w:tc>
          <w:tcPr>
            <w:tcW w:w="5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to non-controlling interest</w:t>
            </w:r>
            <w:r>
              <w:rPr>
                <w:rFonts w:ascii="Times New Roman;serif" w:hAnsi="Times New Roman;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receipts from notes receivable</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Principal amortization of indebtedness</w:t>
            </w:r>
            <w:r>
              <w:rPr>
                <w:rFonts w:ascii="Times New Roman;serif" w:hAnsi="Times New Roman;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9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r>
      <w:tr>
        <w:trPr/>
        <w:tc>
          <w:tcPr>
            <w:tcW w:w="522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470 - 510</w:t>
            </w:r>
          </w:p>
        </w:tc>
        <w:tc>
          <w:tcPr>
            <w:tcW w:w="228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430 - 470</w:t>
            </w:r>
          </w:p>
        </w:tc>
      </w:tr>
      <w:tr>
        <w:trPr/>
        <w:tc>
          <w:tcPr>
            <w:tcW w:w="5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r>
      <w:tr>
        <w:trPr/>
        <w:tc>
          <w:tcPr>
            <w:tcW w:w="5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16"/>
        </w:rPr>
        <w:t>Includes tax equity proceeds and distributions to tax equity partners</w:t>
      </w:r>
    </w:p>
    <w:p>
      <w:pPr>
        <w:pStyle w:val="TextBody"/>
        <w:bidi w:val="0"/>
        <w:spacing w:lineRule="auto" w:line="288"/>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16"/>
        </w:rPr>
        <w:t xml:space="preserve">Excludes maturities assumed to be refinanced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Where references are pro forma, forward-looking, preliminary or prospective in nature, and not based on historical fact, the table set forth above does not provide a reconciliation. The Company could not provide such reconciliation without undue hardship because such EBITDA and Adjusted EBITDA numbers are estimations, approximations and/or ranges. In addition, it would be difficult for the Company to present a detailed reconciliation on account of many unknown variables for the reconciling items, including EBITDA. For the same reasons, the Company is unable to address the probable significance of the unavailable information, which could be material to future results.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or CAFD, is defined as of June 30, 2026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Where references are pro forma, forward-looking, preliminary or prospective in nature, and not based on historical fact, the table set forth above does not provide a reconciliation. The Company could not provide such reconciliation without undue hardship because such EBITDA and Adjusted EBITDA numbers are estimations, approximations and/or ranges. In addition, it would be difficult for the Company to present a detailed reconciliation on account of many unknown variables for the reconciling items, including EBITDA. For the same reasons, the Company is unable to address the probable significance of the unavailable information, which could be material to future results.</w:t>
      </w:r>
    </w:p>
    <w:p>
      <w:pPr>
        <w:pStyle w:val="TextBody"/>
        <w:bidi w:val="0"/>
        <w:spacing w:before="0" w:after="283"/>
        <w:jc w:val="left"/>
        <w:rPr/>
      </w:pPr>
      <w:r>
        <w:rPr/>
      </w:r>
    </w:p>
    <w:p>
      <w:pPr>
        <w:pStyle w:val="TextBody"/>
        <w:bidi w:val="0"/>
        <w:spacing w:before="0" w:after="283"/>
        <w:ind w:left="0" w:right="0" w:firstLine="72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7295</Words>
  <Characters>41142</Characters>
  <CharactersWithSpaces>47938</CharactersWithSpaces>
  <Paragraphs>1638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