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386-1_4seq1.xml.htm"/>
      <w:bookmarkStart w:id="1" w:name="kstm2622386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BlackRock Portfolio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78,938</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Michael McGhee, Rajaram Rao, Deepak Agrawal, Julie Ashworth, Jonathan Bram, William Brilliant, Matthew Harris, Tom Horton, Sugam Mehta and Salim Samaha,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BlackRock Portfolio Management LLC and the GIP Entities disclaim beneficial ownership of the securities reported herein, except to the extent of their respective pecuniary interest therein, if any, and, pursuant to Rule 16a-1(a)(4) under the Securities Exchange Act of 1934, as amended ("the Exchange Act"), BlackRock Portfolio Management LLC and the GIP Entities state that the inclusion of these securities in this report shall not be deemed an admission of beneficial ownership of the securities reported herein for purposes of Section 16 of the Exchange Act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BlackRock Portfolio Management LLC By: /s/ Julie Ashworth,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113"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948</Words>
  <Characters>5253</Characters>
  <CharactersWithSpaces>6129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